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C85" w:rsidRPr="00CA7703" w:rsidRDefault="00353C85" w:rsidP="00353C85">
      <w:pPr>
        <w:pStyle w:val="ReturnAddress"/>
        <w:framePr w:w="3265" w:h="1935" w:wrap="notBeside" w:hAnchor="page" w:x="7444" w:y="657"/>
        <w:rPr>
          <w:rFonts w:asciiTheme="minorHAnsi" w:hAnsiTheme="minorHAnsi" w:cstheme="minorHAnsi"/>
        </w:rPr>
      </w:pPr>
      <w:r w:rsidRPr="00CA7703">
        <w:rPr>
          <w:rFonts w:asciiTheme="minorHAnsi" w:hAnsiTheme="minorHAnsi" w:cstheme="minorHAnsi"/>
        </w:rPr>
        <w:t>Registered Charity No: 1059310</w:t>
      </w:r>
    </w:p>
    <w:p w:rsidR="00353C85" w:rsidRPr="00CA7703" w:rsidRDefault="00353C85" w:rsidP="00353C85">
      <w:pPr>
        <w:pStyle w:val="ReturnAddress"/>
        <w:framePr w:w="3265" w:h="1935" w:wrap="notBeside" w:hAnchor="page" w:x="7444" w:y="657"/>
        <w:rPr>
          <w:rFonts w:asciiTheme="minorHAnsi" w:hAnsiTheme="minorHAnsi" w:cstheme="minorHAnsi"/>
        </w:rPr>
      </w:pPr>
      <w:r w:rsidRPr="00CA7703">
        <w:rPr>
          <w:rFonts w:asciiTheme="minorHAnsi" w:hAnsiTheme="minorHAnsi" w:cstheme="minorHAnsi"/>
        </w:rPr>
        <w:t>A Company Limited by Guarantee Registration No 32655669</w:t>
      </w:r>
    </w:p>
    <w:p w:rsidR="00353C85" w:rsidRDefault="00353C85" w:rsidP="00353C85">
      <w:pPr>
        <w:pStyle w:val="ReturnAddress"/>
        <w:framePr w:w="3265" w:h="1935" w:wrap="notBeside" w:hAnchor="page" w:x="7444" w:y="657"/>
      </w:pPr>
    </w:p>
    <w:p w:rsidR="00353C85" w:rsidRPr="00CA7703" w:rsidRDefault="00353C85" w:rsidP="00353C85">
      <w:pPr>
        <w:pStyle w:val="ReturnAddress"/>
        <w:framePr w:w="3265" w:h="1935" w:wrap="notBeside" w:hAnchor="page" w:x="7444" w:y="657"/>
        <w:rPr>
          <w:rFonts w:asciiTheme="minorHAnsi" w:hAnsiTheme="minorHAnsi" w:cstheme="minorHAnsi"/>
          <w:b/>
          <w:bCs/>
          <w:sz w:val="18"/>
        </w:rPr>
      </w:pPr>
      <w:r w:rsidRPr="00CA7703">
        <w:rPr>
          <w:rFonts w:asciiTheme="minorHAnsi" w:hAnsiTheme="minorHAnsi" w:cstheme="minorHAnsi"/>
          <w:b/>
          <w:bCs/>
          <w:sz w:val="18"/>
        </w:rPr>
        <w:t xml:space="preserve">Director: Alison Mather </w:t>
      </w:r>
    </w:p>
    <w:p w:rsidR="00353C85" w:rsidRPr="00CA7703" w:rsidRDefault="00353C85" w:rsidP="00353C85">
      <w:pPr>
        <w:pStyle w:val="ReturnAddress"/>
        <w:framePr w:w="3265" w:h="1935" w:wrap="notBeside" w:hAnchor="page" w:x="7444" w:y="657"/>
        <w:rPr>
          <w:rFonts w:asciiTheme="minorHAnsi" w:hAnsiTheme="minorHAnsi" w:cstheme="minorHAnsi"/>
          <w:b/>
          <w:bCs/>
          <w:sz w:val="18"/>
        </w:rPr>
      </w:pPr>
      <w:r w:rsidRPr="00CA7703">
        <w:rPr>
          <w:rFonts w:asciiTheme="minorHAnsi" w:hAnsiTheme="minorHAnsi" w:cstheme="minorHAnsi"/>
          <w:b/>
          <w:bCs/>
          <w:sz w:val="18"/>
        </w:rPr>
        <w:t>PO Box 3344</w:t>
      </w:r>
    </w:p>
    <w:p w:rsidR="00353C85" w:rsidRPr="00CA7703" w:rsidRDefault="00353C85" w:rsidP="00353C85">
      <w:pPr>
        <w:pStyle w:val="ReturnAddress"/>
        <w:framePr w:w="3265" w:h="1935" w:wrap="notBeside" w:hAnchor="page" w:x="7444" w:y="657"/>
        <w:rPr>
          <w:rFonts w:asciiTheme="minorHAnsi" w:hAnsiTheme="minorHAnsi" w:cstheme="minorHAnsi"/>
          <w:b/>
          <w:bCs/>
          <w:sz w:val="18"/>
        </w:rPr>
      </w:pPr>
      <w:r w:rsidRPr="00CA7703">
        <w:rPr>
          <w:rFonts w:asciiTheme="minorHAnsi" w:hAnsiTheme="minorHAnsi" w:cstheme="minorHAnsi"/>
          <w:b/>
          <w:bCs/>
          <w:sz w:val="18"/>
        </w:rPr>
        <w:t>Bristol BS6 9NT</w:t>
      </w:r>
    </w:p>
    <w:p w:rsidR="00353C85" w:rsidRPr="00CA7703" w:rsidRDefault="00353C85" w:rsidP="00353C85">
      <w:pPr>
        <w:pStyle w:val="ReturnAddress"/>
        <w:framePr w:w="3265" w:h="1935" w:wrap="notBeside" w:hAnchor="page" w:x="7444" w:y="657"/>
        <w:rPr>
          <w:rFonts w:asciiTheme="minorHAnsi" w:hAnsiTheme="minorHAnsi" w:cstheme="minorHAnsi"/>
          <w:b/>
          <w:bCs/>
          <w:sz w:val="18"/>
        </w:rPr>
      </w:pPr>
      <w:r w:rsidRPr="00CA7703">
        <w:rPr>
          <w:rFonts w:asciiTheme="minorHAnsi" w:hAnsiTheme="minorHAnsi" w:cstheme="minorHAnsi"/>
          <w:b/>
          <w:bCs/>
          <w:sz w:val="18"/>
        </w:rPr>
        <w:t>0117 924 6981</w:t>
      </w:r>
    </w:p>
    <w:p w:rsidR="00353C85" w:rsidRPr="00CA7703" w:rsidRDefault="00353C85" w:rsidP="00353C85">
      <w:pPr>
        <w:pStyle w:val="ReturnAddress"/>
        <w:framePr w:w="3265" w:h="1935" w:wrap="notBeside" w:hAnchor="page" w:x="7444" w:y="657"/>
        <w:rPr>
          <w:rFonts w:asciiTheme="minorHAnsi" w:hAnsiTheme="minorHAnsi" w:cstheme="minorHAnsi"/>
          <w:b/>
          <w:bCs/>
          <w:sz w:val="18"/>
        </w:rPr>
      </w:pPr>
      <w:r w:rsidRPr="00CA7703">
        <w:rPr>
          <w:rFonts w:asciiTheme="minorHAnsi" w:hAnsiTheme="minorHAnsi" w:cstheme="minorHAnsi"/>
          <w:b/>
          <w:bCs/>
          <w:sz w:val="18"/>
        </w:rPr>
        <w:t xml:space="preserve">E- mail: </w:t>
      </w:r>
      <w:hyperlink r:id="rId8" w:history="1">
        <w:r w:rsidRPr="00CA7703">
          <w:rPr>
            <w:rStyle w:val="Hyperlink"/>
            <w:rFonts w:asciiTheme="minorHAnsi" w:hAnsiTheme="minorHAnsi" w:cstheme="minorHAnsi"/>
            <w:b/>
            <w:bCs/>
            <w:sz w:val="18"/>
          </w:rPr>
          <w:t>alison@qaad.org</w:t>
        </w:r>
      </w:hyperlink>
    </w:p>
    <w:p w:rsidR="00353C85" w:rsidRPr="00CA7703" w:rsidRDefault="00353C85" w:rsidP="00353C85">
      <w:pPr>
        <w:pStyle w:val="ReturnAddress"/>
        <w:framePr w:w="3265" w:h="1935" w:wrap="notBeside" w:hAnchor="page" w:x="7444" w:y="657"/>
        <w:rPr>
          <w:rFonts w:asciiTheme="minorHAnsi" w:hAnsiTheme="minorHAnsi" w:cstheme="minorHAnsi"/>
          <w:b/>
          <w:bCs/>
          <w:sz w:val="18"/>
        </w:rPr>
      </w:pPr>
      <w:r w:rsidRPr="00CA7703">
        <w:rPr>
          <w:rFonts w:asciiTheme="minorHAnsi" w:hAnsiTheme="minorHAnsi" w:cstheme="minorHAnsi"/>
          <w:b/>
          <w:bCs/>
          <w:sz w:val="18"/>
        </w:rPr>
        <w:t xml:space="preserve">Website: </w:t>
      </w:r>
      <w:hyperlink r:id="rId9" w:history="1">
        <w:r w:rsidRPr="00CA7703">
          <w:rPr>
            <w:rStyle w:val="Hyperlink"/>
            <w:rFonts w:asciiTheme="minorHAnsi" w:hAnsiTheme="minorHAnsi" w:cstheme="minorHAnsi"/>
            <w:b/>
            <w:bCs/>
            <w:sz w:val="18"/>
          </w:rPr>
          <w:t>www.qaad.org</w:t>
        </w:r>
      </w:hyperlink>
    </w:p>
    <w:p w:rsidR="00353C85" w:rsidRDefault="00353C85" w:rsidP="009F79F8">
      <w:pPr>
        <w:rPr>
          <w:rFonts w:cstheme="minorHAnsi"/>
          <w:b/>
        </w:rPr>
      </w:pPr>
      <w:r>
        <w:rPr>
          <w:rFonts w:cstheme="minorHAnsi"/>
          <w:b/>
          <w:noProof/>
          <w:lang w:eastAsia="en-GB"/>
        </w:rPr>
        <w:drawing>
          <wp:anchor distT="0" distB="0" distL="114300" distR="114300" simplePos="0" relativeHeight="251659264" behindDoc="0" locked="0" layoutInCell="1" allowOverlap="1">
            <wp:simplePos x="0" y="0"/>
            <wp:positionH relativeFrom="column">
              <wp:posOffset>-127635</wp:posOffset>
            </wp:positionH>
            <wp:positionV relativeFrom="paragraph">
              <wp:posOffset>-300355</wp:posOffset>
            </wp:positionV>
            <wp:extent cx="1713230" cy="929005"/>
            <wp:effectExtent l="1905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713230" cy="929005"/>
                    </a:xfrm>
                    <a:prstGeom prst="rect">
                      <a:avLst/>
                    </a:prstGeom>
                    <a:noFill/>
                    <a:ln w="9525">
                      <a:noFill/>
                      <a:miter lim="800000"/>
                      <a:headEnd/>
                      <a:tailEnd/>
                    </a:ln>
                  </pic:spPr>
                </pic:pic>
              </a:graphicData>
            </a:graphic>
          </wp:anchor>
        </w:drawing>
      </w:r>
    </w:p>
    <w:p w:rsidR="00353C85" w:rsidRDefault="00353C85" w:rsidP="009F79F8">
      <w:pPr>
        <w:rPr>
          <w:rFonts w:cstheme="minorHAnsi"/>
          <w:b/>
        </w:rPr>
      </w:pPr>
    </w:p>
    <w:p w:rsidR="00A13BC1" w:rsidRPr="009F79F8" w:rsidRDefault="009438B9" w:rsidP="009F79F8">
      <w:pPr>
        <w:rPr>
          <w:rFonts w:cstheme="minorHAnsi"/>
          <w:b/>
        </w:rPr>
      </w:pPr>
      <w:r>
        <w:rPr>
          <w:rFonts w:cstheme="minorHAnsi"/>
          <w:b/>
        </w:rPr>
        <w:t>Gambling Commission Consultation</w:t>
      </w:r>
      <w:r w:rsidR="008618A7" w:rsidRPr="009F79F8">
        <w:rPr>
          <w:rFonts w:cstheme="minorHAnsi"/>
          <w:b/>
        </w:rPr>
        <w:t>:</w:t>
      </w:r>
      <w:r>
        <w:rPr>
          <w:rFonts w:cstheme="minorHAnsi"/>
          <w:b/>
        </w:rPr>
        <w:t xml:space="preserve"> High Value Customers (HVCs/</w:t>
      </w:r>
      <w:r w:rsidR="008618A7" w:rsidRPr="009F79F8">
        <w:rPr>
          <w:rFonts w:cstheme="minorHAnsi"/>
          <w:b/>
        </w:rPr>
        <w:t>VIPs</w:t>
      </w:r>
      <w:r>
        <w:rPr>
          <w:rFonts w:cstheme="minorHAnsi"/>
          <w:b/>
        </w:rPr>
        <w:t>)</w:t>
      </w:r>
    </w:p>
    <w:p w:rsidR="00847F01" w:rsidRPr="009F79F8" w:rsidRDefault="00847F01">
      <w:pPr>
        <w:rPr>
          <w:rFonts w:cstheme="minorHAnsi"/>
          <w:b/>
        </w:rPr>
      </w:pPr>
    </w:p>
    <w:p w:rsidR="00AF21F3" w:rsidRPr="009F79F8" w:rsidRDefault="00CF17B6" w:rsidP="00034814">
      <w:pPr>
        <w:tabs>
          <w:tab w:val="left" w:pos="426"/>
        </w:tabs>
        <w:rPr>
          <w:rFonts w:cstheme="minorHAnsi"/>
          <w:b/>
        </w:rPr>
      </w:pPr>
      <w:r w:rsidRPr="009F79F8">
        <w:rPr>
          <w:rFonts w:cstheme="minorHAnsi"/>
          <w:b/>
        </w:rPr>
        <w:t>Do you agree with the proposed new wording of the social responsibility code 5.1.1?</w:t>
      </w:r>
    </w:p>
    <w:p w:rsidR="00C008B8" w:rsidRPr="009F79F8" w:rsidRDefault="005B3205" w:rsidP="00C008B8">
      <w:pPr>
        <w:rPr>
          <w:rFonts w:cstheme="minorHAnsi"/>
        </w:rPr>
      </w:pPr>
      <w:r w:rsidRPr="009F79F8">
        <w:rPr>
          <w:rFonts w:cstheme="minorHAnsi"/>
        </w:rPr>
        <w:t>Firstly, w</w:t>
      </w:r>
      <w:r w:rsidR="00A81977" w:rsidRPr="009F79F8">
        <w:rPr>
          <w:rFonts w:cstheme="minorHAnsi"/>
        </w:rPr>
        <w:t xml:space="preserve">e would like </w:t>
      </w:r>
      <w:r w:rsidR="00275B20" w:rsidRPr="009F79F8">
        <w:rPr>
          <w:rFonts w:cstheme="minorHAnsi"/>
        </w:rPr>
        <w:t xml:space="preserve">to express </w:t>
      </w:r>
      <w:r w:rsidR="00A81977" w:rsidRPr="009F79F8">
        <w:rPr>
          <w:rFonts w:cstheme="minorHAnsi"/>
        </w:rPr>
        <w:t xml:space="preserve">our </w:t>
      </w:r>
      <w:r w:rsidR="00275B20" w:rsidRPr="009F79F8">
        <w:rPr>
          <w:rFonts w:cstheme="minorHAnsi"/>
        </w:rPr>
        <w:t>support for</w:t>
      </w:r>
      <w:r w:rsidR="00A81977" w:rsidRPr="009F79F8">
        <w:rPr>
          <w:rFonts w:cstheme="minorHAnsi"/>
        </w:rPr>
        <w:t xml:space="preserve"> </w:t>
      </w:r>
      <w:r w:rsidR="00C008B8" w:rsidRPr="009F79F8">
        <w:rPr>
          <w:rFonts w:cstheme="minorHAnsi"/>
        </w:rPr>
        <w:t xml:space="preserve">an immediate ban on VIP accounts, echoing </w:t>
      </w:r>
      <w:r w:rsidR="00A81977" w:rsidRPr="009F79F8">
        <w:rPr>
          <w:rFonts w:cstheme="minorHAnsi"/>
        </w:rPr>
        <w:t xml:space="preserve">the Gambling </w:t>
      </w:r>
      <w:r w:rsidR="001E559C" w:rsidRPr="009F79F8">
        <w:rPr>
          <w:rFonts w:cstheme="minorHAnsi"/>
        </w:rPr>
        <w:t xml:space="preserve">Related Harm All Party Parliamentary </w:t>
      </w:r>
      <w:r w:rsidR="00275B20" w:rsidRPr="009F79F8">
        <w:rPr>
          <w:rFonts w:cstheme="minorHAnsi"/>
        </w:rPr>
        <w:t>Group’s recommendation</w:t>
      </w:r>
      <w:r w:rsidR="00C008B8" w:rsidRPr="009F79F8">
        <w:rPr>
          <w:rFonts w:cstheme="minorHAnsi"/>
        </w:rPr>
        <w:t xml:space="preserve">: </w:t>
      </w:r>
      <w:r w:rsidR="00C008B8" w:rsidRPr="009F79F8">
        <w:rPr>
          <w:rFonts w:cstheme="minorHAnsi"/>
          <w:i/>
        </w:rPr>
        <w:t>‘Rather than relying on the industry to self-regulate, the Gambling Commission must act decisively and ban these highly problematic VIP schemes.’</w:t>
      </w:r>
      <w:r w:rsidR="00C008B8" w:rsidRPr="009F79F8">
        <w:rPr>
          <w:rStyle w:val="FootnoteReference"/>
          <w:rFonts w:cstheme="minorHAnsi"/>
        </w:rPr>
        <w:t xml:space="preserve"> </w:t>
      </w:r>
      <w:r w:rsidR="00C008B8" w:rsidRPr="009F79F8">
        <w:rPr>
          <w:rStyle w:val="FootnoteReference"/>
          <w:rFonts w:cstheme="minorHAnsi"/>
        </w:rPr>
        <w:footnoteReference w:id="2"/>
      </w:r>
    </w:p>
    <w:p w:rsidR="00C008B8" w:rsidRPr="009F79F8" w:rsidRDefault="00C008B8">
      <w:pPr>
        <w:rPr>
          <w:rFonts w:cstheme="minorHAnsi"/>
        </w:rPr>
      </w:pPr>
    </w:p>
    <w:p w:rsidR="00A81977" w:rsidRPr="009F79F8" w:rsidRDefault="00275B20">
      <w:pPr>
        <w:rPr>
          <w:rFonts w:cstheme="minorHAnsi"/>
        </w:rPr>
      </w:pPr>
      <w:r w:rsidRPr="009F79F8">
        <w:rPr>
          <w:rFonts w:cstheme="minorHAnsi"/>
        </w:rPr>
        <w:t>W</w:t>
      </w:r>
      <w:r w:rsidR="00A81977" w:rsidRPr="009F79F8">
        <w:rPr>
          <w:rFonts w:cstheme="minorHAnsi"/>
        </w:rPr>
        <w:t xml:space="preserve">e offer </w:t>
      </w:r>
      <w:r w:rsidRPr="009F79F8">
        <w:rPr>
          <w:rFonts w:cstheme="minorHAnsi"/>
        </w:rPr>
        <w:t xml:space="preserve">our </w:t>
      </w:r>
      <w:r w:rsidR="00EF4578" w:rsidRPr="009F79F8">
        <w:rPr>
          <w:rFonts w:cstheme="minorHAnsi"/>
        </w:rPr>
        <w:t>responses to</w:t>
      </w:r>
      <w:r w:rsidR="005B3205" w:rsidRPr="009F79F8">
        <w:rPr>
          <w:rFonts w:cstheme="minorHAnsi"/>
        </w:rPr>
        <w:t xml:space="preserve"> this</w:t>
      </w:r>
      <w:r w:rsidR="00A81977" w:rsidRPr="009F79F8">
        <w:rPr>
          <w:rFonts w:cstheme="minorHAnsi"/>
        </w:rPr>
        <w:t xml:space="preserve"> consultation</w:t>
      </w:r>
      <w:r w:rsidR="005B3205" w:rsidRPr="009F79F8">
        <w:rPr>
          <w:rFonts w:cstheme="minorHAnsi"/>
        </w:rPr>
        <w:t xml:space="preserve"> </w:t>
      </w:r>
      <w:r w:rsidR="00A81977" w:rsidRPr="009F79F8">
        <w:rPr>
          <w:rFonts w:cstheme="minorHAnsi"/>
        </w:rPr>
        <w:t xml:space="preserve">on the understanding that </w:t>
      </w:r>
      <w:r w:rsidR="00EF4578" w:rsidRPr="009F79F8">
        <w:rPr>
          <w:rFonts w:cstheme="minorHAnsi"/>
        </w:rPr>
        <w:t>enhanced</w:t>
      </w:r>
      <w:r w:rsidR="00A81977" w:rsidRPr="009F79F8">
        <w:rPr>
          <w:rFonts w:cstheme="minorHAnsi"/>
        </w:rPr>
        <w:t xml:space="preserve"> protection for </w:t>
      </w:r>
      <w:r w:rsidR="006E44B6" w:rsidRPr="009F79F8">
        <w:rPr>
          <w:rFonts w:cstheme="minorHAnsi"/>
        </w:rPr>
        <w:t>‘high value</w:t>
      </w:r>
      <w:r w:rsidR="00EF4578" w:rsidRPr="009F79F8">
        <w:rPr>
          <w:rFonts w:cstheme="minorHAnsi"/>
        </w:rPr>
        <w:t xml:space="preserve"> </w:t>
      </w:r>
      <w:r w:rsidR="00A81977" w:rsidRPr="009F79F8">
        <w:rPr>
          <w:rFonts w:cstheme="minorHAnsi"/>
        </w:rPr>
        <w:t>customers</w:t>
      </w:r>
      <w:r w:rsidR="006E44B6" w:rsidRPr="009F79F8">
        <w:rPr>
          <w:rFonts w:cstheme="minorHAnsi"/>
        </w:rPr>
        <w:t>’ (HVCs)</w:t>
      </w:r>
      <w:r w:rsidR="00A81977" w:rsidRPr="009F79F8">
        <w:rPr>
          <w:rFonts w:cstheme="minorHAnsi"/>
        </w:rPr>
        <w:t xml:space="preserve"> is </w:t>
      </w:r>
      <w:r w:rsidR="00EF4578" w:rsidRPr="009F79F8">
        <w:rPr>
          <w:rFonts w:cstheme="minorHAnsi"/>
        </w:rPr>
        <w:t xml:space="preserve">urgently </w:t>
      </w:r>
      <w:r w:rsidR="00A81977" w:rsidRPr="009F79F8">
        <w:rPr>
          <w:rFonts w:cstheme="minorHAnsi"/>
        </w:rPr>
        <w:t xml:space="preserve">needed until </w:t>
      </w:r>
      <w:r w:rsidR="005B3205" w:rsidRPr="009F79F8">
        <w:rPr>
          <w:rFonts w:cstheme="minorHAnsi"/>
        </w:rPr>
        <w:t xml:space="preserve">such </w:t>
      </w:r>
      <w:r w:rsidR="00A81977" w:rsidRPr="009F79F8">
        <w:rPr>
          <w:rFonts w:cstheme="minorHAnsi"/>
        </w:rPr>
        <w:t>a ban</w:t>
      </w:r>
      <w:r w:rsidR="00EF4578" w:rsidRPr="009F79F8">
        <w:rPr>
          <w:rFonts w:cstheme="minorHAnsi"/>
        </w:rPr>
        <w:t xml:space="preserve"> can be secured.</w:t>
      </w:r>
      <w:r w:rsidR="00A81977" w:rsidRPr="009F79F8">
        <w:rPr>
          <w:rFonts w:cstheme="minorHAnsi"/>
        </w:rPr>
        <w:t xml:space="preserve"> </w:t>
      </w:r>
    </w:p>
    <w:p w:rsidR="00275B20" w:rsidRPr="009F79F8" w:rsidRDefault="00275B20">
      <w:pPr>
        <w:rPr>
          <w:rFonts w:cstheme="minorHAnsi"/>
        </w:rPr>
      </w:pPr>
    </w:p>
    <w:p w:rsidR="00176058" w:rsidRPr="009F79F8" w:rsidRDefault="00970523">
      <w:pPr>
        <w:rPr>
          <w:rFonts w:cstheme="minorHAnsi"/>
        </w:rPr>
      </w:pPr>
      <w:r w:rsidRPr="009F79F8">
        <w:rPr>
          <w:rFonts w:cstheme="minorHAnsi"/>
        </w:rPr>
        <w:t>We</w:t>
      </w:r>
      <w:r w:rsidR="00176058" w:rsidRPr="009F79F8">
        <w:rPr>
          <w:rFonts w:cstheme="minorHAnsi"/>
        </w:rPr>
        <w:t xml:space="preserve"> welcome the addition of a requirement </w:t>
      </w:r>
      <w:r w:rsidR="00411905" w:rsidRPr="009F79F8">
        <w:rPr>
          <w:rFonts w:cstheme="minorHAnsi"/>
        </w:rPr>
        <w:t>specifically focused on HVC management</w:t>
      </w:r>
      <w:r w:rsidR="00C008B8" w:rsidRPr="009F79F8">
        <w:rPr>
          <w:rFonts w:cstheme="minorHAnsi"/>
        </w:rPr>
        <w:t xml:space="preserve"> to SR Code 5.1.1</w:t>
      </w:r>
      <w:r w:rsidRPr="009F79F8">
        <w:rPr>
          <w:rFonts w:cstheme="minorHAnsi"/>
        </w:rPr>
        <w:t xml:space="preserve">.  However, </w:t>
      </w:r>
      <w:r w:rsidR="00176058" w:rsidRPr="009F79F8">
        <w:rPr>
          <w:rFonts w:cstheme="minorHAnsi"/>
        </w:rPr>
        <w:t xml:space="preserve">we </w:t>
      </w:r>
      <w:r w:rsidR="00C008B8" w:rsidRPr="009F79F8">
        <w:rPr>
          <w:rFonts w:cstheme="minorHAnsi"/>
        </w:rPr>
        <w:t>believe</w:t>
      </w:r>
      <w:r w:rsidR="00176058" w:rsidRPr="009F79F8">
        <w:rPr>
          <w:rFonts w:cstheme="minorHAnsi"/>
        </w:rPr>
        <w:t xml:space="preserve"> that </w:t>
      </w:r>
      <w:r w:rsidR="00986D11" w:rsidRPr="009F79F8">
        <w:rPr>
          <w:rFonts w:cstheme="minorHAnsi"/>
        </w:rPr>
        <w:t xml:space="preserve">it </w:t>
      </w:r>
      <w:r w:rsidR="00336C2D" w:rsidRPr="009F79F8">
        <w:rPr>
          <w:rFonts w:cstheme="minorHAnsi"/>
        </w:rPr>
        <w:t>would benefit from being strengthened further</w:t>
      </w:r>
      <w:r w:rsidR="00176058" w:rsidRPr="009F79F8">
        <w:rPr>
          <w:rFonts w:cstheme="minorHAnsi"/>
        </w:rPr>
        <w:t xml:space="preserve"> in the light of the </w:t>
      </w:r>
      <w:r w:rsidRPr="009F79F8">
        <w:rPr>
          <w:rFonts w:cstheme="minorHAnsi"/>
        </w:rPr>
        <w:t xml:space="preserve">worrying </w:t>
      </w:r>
      <w:r w:rsidR="00176058" w:rsidRPr="009F79F8">
        <w:rPr>
          <w:rFonts w:cstheme="minorHAnsi"/>
        </w:rPr>
        <w:t xml:space="preserve">evidence set out in the consultation. </w:t>
      </w:r>
      <w:r w:rsidR="009F564B" w:rsidRPr="009F79F8">
        <w:rPr>
          <w:rFonts w:cstheme="minorHAnsi"/>
        </w:rPr>
        <w:t xml:space="preserve"> </w:t>
      </w:r>
    </w:p>
    <w:p w:rsidR="00882540" w:rsidRPr="009F79F8" w:rsidRDefault="00882540">
      <w:pPr>
        <w:rPr>
          <w:rFonts w:cstheme="minorHAnsi"/>
        </w:rPr>
      </w:pPr>
    </w:p>
    <w:p w:rsidR="00336C2D" w:rsidRPr="009F79F8" w:rsidRDefault="00882540" w:rsidP="00133E21">
      <w:pPr>
        <w:rPr>
          <w:rFonts w:cstheme="minorHAnsi"/>
        </w:rPr>
      </w:pPr>
      <w:r w:rsidRPr="009F79F8">
        <w:rPr>
          <w:rFonts w:cstheme="minorHAnsi"/>
        </w:rPr>
        <w:t xml:space="preserve">The proposed additional requirement states that operators ‘must’ take the guidance into account; the guidance states that its contents represent a ‘minimum standard’ to be met in order to continue offering HVC incentives; and the majority of measures included in the guidance are described as actions operators ‘should’ take i.e. advisory rather than </w:t>
      </w:r>
      <w:r w:rsidR="00A60073">
        <w:rPr>
          <w:rFonts w:cstheme="minorHAnsi"/>
        </w:rPr>
        <w:t>regulatory</w:t>
      </w:r>
      <w:r w:rsidRPr="009F79F8">
        <w:rPr>
          <w:rFonts w:cstheme="minorHAnsi"/>
        </w:rPr>
        <w:t xml:space="preserve"> requirements.  In</w:t>
      </w:r>
      <w:r w:rsidR="00336C2D" w:rsidRPr="009F79F8">
        <w:rPr>
          <w:rFonts w:cstheme="minorHAnsi"/>
        </w:rPr>
        <w:t xml:space="preserve"> our view, t</w:t>
      </w:r>
      <w:r w:rsidR="006E44B6" w:rsidRPr="009F79F8">
        <w:rPr>
          <w:rFonts w:cstheme="minorHAnsi"/>
        </w:rPr>
        <w:t xml:space="preserve">his </w:t>
      </w:r>
      <w:r w:rsidR="00FD734A" w:rsidRPr="009F79F8">
        <w:rPr>
          <w:rFonts w:cstheme="minorHAnsi"/>
        </w:rPr>
        <w:t>risks creating</w:t>
      </w:r>
      <w:r w:rsidR="006E44B6" w:rsidRPr="009F79F8">
        <w:rPr>
          <w:rFonts w:cstheme="minorHAnsi"/>
        </w:rPr>
        <w:t xml:space="preserve"> </w:t>
      </w:r>
      <w:r w:rsidR="00970D57" w:rsidRPr="009F79F8">
        <w:rPr>
          <w:rFonts w:cstheme="minorHAnsi"/>
        </w:rPr>
        <w:t xml:space="preserve">a level of </w:t>
      </w:r>
      <w:r w:rsidR="006E44B6" w:rsidRPr="009F79F8">
        <w:rPr>
          <w:rFonts w:cstheme="minorHAnsi"/>
        </w:rPr>
        <w:t xml:space="preserve">ambiguity which </w:t>
      </w:r>
      <w:r w:rsidRPr="009F79F8">
        <w:rPr>
          <w:rFonts w:cstheme="minorHAnsi"/>
        </w:rPr>
        <w:t>some operators</w:t>
      </w:r>
      <w:r w:rsidR="005E0B96" w:rsidRPr="009F79F8">
        <w:rPr>
          <w:rFonts w:cstheme="minorHAnsi"/>
        </w:rPr>
        <w:t xml:space="preserve"> </w:t>
      </w:r>
      <w:r w:rsidR="00FD734A" w:rsidRPr="009F79F8">
        <w:rPr>
          <w:rFonts w:cstheme="minorHAnsi"/>
        </w:rPr>
        <w:t xml:space="preserve">could use </w:t>
      </w:r>
      <w:r w:rsidR="005E0B96" w:rsidRPr="009F79F8">
        <w:rPr>
          <w:rFonts w:cstheme="minorHAnsi"/>
        </w:rPr>
        <w:t>in order</w:t>
      </w:r>
      <w:r w:rsidR="006E44B6" w:rsidRPr="009F79F8">
        <w:rPr>
          <w:rFonts w:cstheme="minorHAnsi"/>
        </w:rPr>
        <w:t xml:space="preserve"> to continue </w:t>
      </w:r>
      <w:r w:rsidRPr="009F79F8">
        <w:rPr>
          <w:rFonts w:cstheme="minorHAnsi"/>
        </w:rPr>
        <w:t xml:space="preserve">potentially </w:t>
      </w:r>
      <w:r w:rsidR="006E44B6" w:rsidRPr="009F79F8">
        <w:rPr>
          <w:rFonts w:cstheme="minorHAnsi"/>
        </w:rPr>
        <w:t>harmful practi</w:t>
      </w:r>
      <w:r w:rsidR="00970D57" w:rsidRPr="009F79F8">
        <w:rPr>
          <w:rFonts w:cstheme="minorHAnsi"/>
        </w:rPr>
        <w:t xml:space="preserve">ces. </w:t>
      </w:r>
      <w:r w:rsidRPr="009F79F8">
        <w:rPr>
          <w:rFonts w:cstheme="minorHAnsi"/>
        </w:rPr>
        <w:t xml:space="preserve"> </w:t>
      </w:r>
      <w:r w:rsidR="00FD734A" w:rsidRPr="009F79F8">
        <w:rPr>
          <w:rFonts w:cstheme="minorHAnsi"/>
        </w:rPr>
        <w:t>Rather than requiring operators to take the guidance ‘into account’, w</w:t>
      </w:r>
      <w:r w:rsidR="00133E21" w:rsidRPr="009F79F8">
        <w:rPr>
          <w:rFonts w:cstheme="minorHAnsi"/>
        </w:rPr>
        <w:t>e would like</w:t>
      </w:r>
      <w:r w:rsidR="00FD734A" w:rsidRPr="009F79F8">
        <w:rPr>
          <w:rFonts w:cstheme="minorHAnsi"/>
        </w:rPr>
        <w:t xml:space="preserve"> </w:t>
      </w:r>
      <w:r w:rsidR="00133E21" w:rsidRPr="009F79F8">
        <w:rPr>
          <w:rFonts w:cstheme="minorHAnsi"/>
        </w:rPr>
        <w:t xml:space="preserve">to suggest </w:t>
      </w:r>
      <w:r w:rsidR="009D4119" w:rsidRPr="009F79F8">
        <w:rPr>
          <w:rFonts w:cstheme="minorHAnsi"/>
        </w:rPr>
        <w:t>the following</w:t>
      </w:r>
      <w:r w:rsidR="00133E21" w:rsidRPr="009F79F8">
        <w:rPr>
          <w:rFonts w:cstheme="minorHAnsi"/>
        </w:rPr>
        <w:t xml:space="preserve"> </w:t>
      </w:r>
      <w:r w:rsidR="00FD734A" w:rsidRPr="009F79F8">
        <w:rPr>
          <w:rFonts w:cstheme="minorHAnsi"/>
        </w:rPr>
        <w:t>alterative wording:</w:t>
      </w:r>
    </w:p>
    <w:p w:rsidR="00336C2D" w:rsidRPr="009F79F8" w:rsidRDefault="00336C2D" w:rsidP="00133E21">
      <w:pPr>
        <w:rPr>
          <w:rFonts w:cstheme="minorHAnsi"/>
        </w:rPr>
      </w:pPr>
    </w:p>
    <w:p w:rsidR="00133E21" w:rsidRPr="009438B9" w:rsidRDefault="00133E21" w:rsidP="00133E21">
      <w:pPr>
        <w:rPr>
          <w:rFonts w:cstheme="minorHAnsi"/>
        </w:rPr>
      </w:pPr>
      <w:r w:rsidRPr="009438B9">
        <w:rPr>
          <w:rFonts w:cstheme="minorHAnsi"/>
          <w:i/>
        </w:rPr>
        <w:t>‘Licensees must be able to demonstrate the extent to which they have put the Commission’s guidance</w:t>
      </w:r>
      <w:r w:rsidR="00336C2D" w:rsidRPr="009438B9">
        <w:rPr>
          <w:rFonts w:cstheme="minorHAnsi"/>
          <w:i/>
        </w:rPr>
        <w:t xml:space="preserve"> on High Value Customers</w:t>
      </w:r>
      <w:r w:rsidRPr="009438B9">
        <w:rPr>
          <w:rFonts w:cstheme="minorHAnsi"/>
          <w:i/>
        </w:rPr>
        <w:t xml:space="preserve"> into practice, how they have done so and, where appropriate, the reasons why specific measures have not been implemented.’</w:t>
      </w:r>
    </w:p>
    <w:p w:rsidR="00133E21" w:rsidRPr="009F79F8" w:rsidRDefault="00133E21" w:rsidP="00133E21">
      <w:pPr>
        <w:rPr>
          <w:rFonts w:cstheme="minorHAnsi"/>
        </w:rPr>
      </w:pPr>
    </w:p>
    <w:p w:rsidR="00AF21F3" w:rsidRPr="009F79F8" w:rsidRDefault="00CF17B6" w:rsidP="00034814">
      <w:pPr>
        <w:tabs>
          <w:tab w:val="left" w:pos="426"/>
        </w:tabs>
        <w:rPr>
          <w:rFonts w:cstheme="minorHAnsi"/>
          <w:i/>
        </w:rPr>
      </w:pPr>
      <w:r w:rsidRPr="009F79F8">
        <w:rPr>
          <w:rFonts w:cstheme="minorHAnsi"/>
          <w:b/>
        </w:rPr>
        <w:t>Do you agree that concerns regarding the management of HVCs can be addressed with the proposed additions to social responsibility code 5.1.1 and associated guidance?</w:t>
      </w:r>
    </w:p>
    <w:p w:rsidR="00336C2D" w:rsidRPr="009F79F8" w:rsidRDefault="00336C2D" w:rsidP="00C035C9">
      <w:pPr>
        <w:rPr>
          <w:rFonts w:cstheme="minorHAnsi"/>
        </w:rPr>
      </w:pPr>
    </w:p>
    <w:p w:rsidR="00845857" w:rsidRPr="009F79F8" w:rsidRDefault="00C035C9" w:rsidP="00C035C9">
      <w:pPr>
        <w:rPr>
          <w:rFonts w:cstheme="minorHAnsi"/>
        </w:rPr>
      </w:pPr>
      <w:r w:rsidRPr="009F79F8">
        <w:rPr>
          <w:rFonts w:cstheme="minorHAnsi"/>
        </w:rPr>
        <w:t xml:space="preserve">We believe that the focus of </w:t>
      </w:r>
      <w:r w:rsidR="00845857" w:rsidRPr="009F79F8">
        <w:rPr>
          <w:rFonts w:cstheme="minorHAnsi"/>
        </w:rPr>
        <w:t xml:space="preserve">addressing </w:t>
      </w:r>
      <w:r w:rsidR="00B21B10" w:rsidRPr="009F79F8">
        <w:rPr>
          <w:rFonts w:cstheme="minorHAnsi"/>
        </w:rPr>
        <w:t xml:space="preserve">the serious </w:t>
      </w:r>
      <w:r w:rsidR="00845857" w:rsidRPr="009F79F8">
        <w:rPr>
          <w:rFonts w:cstheme="minorHAnsi"/>
        </w:rPr>
        <w:t>concerns</w:t>
      </w:r>
      <w:r w:rsidRPr="009F79F8">
        <w:rPr>
          <w:rFonts w:cstheme="minorHAnsi"/>
        </w:rPr>
        <w:t xml:space="preserve"> associated </w:t>
      </w:r>
      <w:r w:rsidR="004C655B" w:rsidRPr="009F79F8">
        <w:rPr>
          <w:rFonts w:cstheme="minorHAnsi"/>
        </w:rPr>
        <w:t>with HVCs</w:t>
      </w:r>
      <w:r w:rsidRPr="009F79F8">
        <w:rPr>
          <w:rFonts w:cstheme="minorHAnsi"/>
        </w:rPr>
        <w:t xml:space="preserve"> should be placed firmly on prevention, rather than </w:t>
      </w:r>
      <w:r w:rsidR="00845857" w:rsidRPr="009F79F8">
        <w:rPr>
          <w:rFonts w:cstheme="minorHAnsi"/>
        </w:rPr>
        <w:t xml:space="preserve">on </w:t>
      </w:r>
      <w:r w:rsidRPr="009F79F8">
        <w:rPr>
          <w:rFonts w:cstheme="minorHAnsi"/>
        </w:rPr>
        <w:t xml:space="preserve">reacting to </w:t>
      </w:r>
      <w:r w:rsidR="00FD734A" w:rsidRPr="009F79F8">
        <w:rPr>
          <w:rFonts w:cstheme="minorHAnsi"/>
        </w:rPr>
        <w:t>malpractice</w:t>
      </w:r>
      <w:r w:rsidRPr="009F79F8">
        <w:rPr>
          <w:rFonts w:cstheme="minorHAnsi"/>
        </w:rPr>
        <w:t xml:space="preserve"> once </w:t>
      </w:r>
      <w:r w:rsidR="00FD734A" w:rsidRPr="009F79F8">
        <w:rPr>
          <w:rFonts w:cstheme="minorHAnsi"/>
        </w:rPr>
        <w:t>it</w:t>
      </w:r>
      <w:r w:rsidRPr="009F79F8">
        <w:rPr>
          <w:rFonts w:cstheme="minorHAnsi"/>
        </w:rPr>
        <w:t xml:space="preserve"> </w:t>
      </w:r>
      <w:r w:rsidR="00FD734A" w:rsidRPr="009F79F8">
        <w:rPr>
          <w:rFonts w:cstheme="minorHAnsi"/>
        </w:rPr>
        <w:t xml:space="preserve">has </w:t>
      </w:r>
      <w:r w:rsidRPr="009F79F8">
        <w:rPr>
          <w:rFonts w:cstheme="minorHAnsi"/>
        </w:rPr>
        <w:t>come</w:t>
      </w:r>
      <w:r w:rsidR="00B21B10" w:rsidRPr="009F79F8">
        <w:rPr>
          <w:rFonts w:cstheme="minorHAnsi"/>
        </w:rPr>
        <w:t xml:space="preserve"> to light. </w:t>
      </w:r>
    </w:p>
    <w:p w:rsidR="0083623D" w:rsidRPr="009F79F8" w:rsidRDefault="0083623D" w:rsidP="00291274">
      <w:pPr>
        <w:rPr>
          <w:rFonts w:cstheme="minorHAnsi"/>
        </w:rPr>
      </w:pPr>
    </w:p>
    <w:p w:rsidR="00B21B10" w:rsidRPr="009F79F8" w:rsidRDefault="00291274" w:rsidP="00B21B10">
      <w:pPr>
        <w:rPr>
          <w:rFonts w:cstheme="minorHAnsi"/>
        </w:rPr>
      </w:pPr>
      <w:r w:rsidRPr="009F79F8">
        <w:rPr>
          <w:rFonts w:cstheme="minorHAnsi"/>
        </w:rPr>
        <w:t xml:space="preserve">The Commission explicitly acknowledges the inherent tension between commercial interests and licencing objectives: </w:t>
      </w:r>
      <w:r w:rsidRPr="009F79F8">
        <w:rPr>
          <w:rFonts w:cstheme="minorHAnsi"/>
          <w:i/>
        </w:rPr>
        <w:t>‘Information on customer habits, preferences and vulnerabilities have (sic) been exploited with the driver for relationships being to increase customer spend to the exclusion of other considerations.’</w:t>
      </w:r>
      <w:r w:rsidR="00C07417" w:rsidRPr="009F79F8">
        <w:rPr>
          <w:rFonts w:cstheme="minorHAnsi"/>
          <w:i/>
        </w:rPr>
        <w:t xml:space="preserve"> </w:t>
      </w:r>
      <w:r w:rsidR="0083623D" w:rsidRPr="009F79F8">
        <w:rPr>
          <w:rFonts w:cstheme="minorHAnsi"/>
        </w:rPr>
        <w:t xml:space="preserve"> It describes the behaviour of some staff as </w:t>
      </w:r>
      <w:r w:rsidR="0083623D" w:rsidRPr="009F79F8">
        <w:rPr>
          <w:rFonts w:cstheme="minorHAnsi"/>
          <w:i/>
        </w:rPr>
        <w:t>‘irresponsible and, on occasion, exploitative</w:t>
      </w:r>
      <w:r w:rsidR="0083623D" w:rsidRPr="009F79F8">
        <w:rPr>
          <w:rFonts w:cstheme="minorHAnsi"/>
        </w:rPr>
        <w:t>’</w:t>
      </w:r>
      <w:r w:rsidR="00B21B10" w:rsidRPr="009F79F8">
        <w:rPr>
          <w:rFonts w:cstheme="minorHAnsi"/>
        </w:rPr>
        <w:t xml:space="preserve"> whilst</w:t>
      </w:r>
      <w:r w:rsidR="0083623D" w:rsidRPr="009F79F8">
        <w:rPr>
          <w:rFonts w:cstheme="minorHAnsi"/>
        </w:rPr>
        <w:t xml:space="preserve"> </w:t>
      </w:r>
      <w:r w:rsidR="00B21B10" w:rsidRPr="009F79F8">
        <w:rPr>
          <w:rFonts w:cstheme="minorHAnsi"/>
        </w:rPr>
        <w:t>confirming</w:t>
      </w:r>
      <w:r w:rsidR="00C07417" w:rsidRPr="009F79F8">
        <w:rPr>
          <w:rFonts w:cstheme="minorHAnsi"/>
        </w:rPr>
        <w:t xml:space="preserve"> that it had found</w:t>
      </w:r>
      <w:r w:rsidR="00C07417" w:rsidRPr="009F79F8">
        <w:rPr>
          <w:rFonts w:cstheme="minorHAnsi"/>
          <w:i/>
        </w:rPr>
        <w:t xml:space="preserve"> ‘too often</w:t>
      </w:r>
      <w:r w:rsidR="009F79F8" w:rsidRPr="009F79F8">
        <w:rPr>
          <w:rFonts w:cstheme="minorHAnsi"/>
          <w:i/>
        </w:rPr>
        <w:t>...</w:t>
      </w:r>
      <w:r w:rsidR="00C07417" w:rsidRPr="009F79F8">
        <w:rPr>
          <w:rFonts w:cstheme="minorHAnsi"/>
          <w:i/>
        </w:rPr>
        <w:t xml:space="preserve"> existing requirements applicable to all customers watered down or not applied rigorously to HVCs.’ </w:t>
      </w:r>
      <w:r w:rsidR="00C07417" w:rsidRPr="009F79F8">
        <w:rPr>
          <w:rFonts w:cstheme="minorHAnsi"/>
        </w:rPr>
        <w:t xml:space="preserve"> </w:t>
      </w:r>
    </w:p>
    <w:p w:rsidR="00825917" w:rsidRPr="009F79F8" w:rsidRDefault="00825917" w:rsidP="00B21B10">
      <w:pPr>
        <w:rPr>
          <w:rFonts w:cstheme="minorHAnsi"/>
        </w:rPr>
      </w:pPr>
    </w:p>
    <w:p w:rsidR="004D59C9" w:rsidRPr="009F79F8" w:rsidRDefault="00C3131C" w:rsidP="00B21B10">
      <w:pPr>
        <w:rPr>
          <w:rFonts w:cstheme="minorHAnsi"/>
        </w:rPr>
      </w:pPr>
      <w:r w:rsidRPr="009F79F8">
        <w:rPr>
          <w:rFonts w:cstheme="minorHAnsi"/>
        </w:rPr>
        <w:lastRenderedPageBreak/>
        <w:t xml:space="preserve">This </w:t>
      </w:r>
      <w:r w:rsidR="00B21B10" w:rsidRPr="009F79F8">
        <w:rPr>
          <w:rFonts w:cstheme="minorHAnsi"/>
        </w:rPr>
        <w:t>evidence</w:t>
      </w:r>
      <w:r w:rsidRPr="009F79F8">
        <w:rPr>
          <w:rFonts w:cstheme="minorHAnsi"/>
        </w:rPr>
        <w:t xml:space="preserve"> serves as a powerful indictment of curre</w:t>
      </w:r>
      <w:r w:rsidR="00B21B10" w:rsidRPr="009F79F8">
        <w:rPr>
          <w:rFonts w:cstheme="minorHAnsi"/>
        </w:rPr>
        <w:t xml:space="preserve">nt practice within the industry, and a measure of the cultural change needed in order to protect HVCs, their families and communities </w:t>
      </w:r>
      <w:r w:rsidR="0034415E" w:rsidRPr="009F79F8">
        <w:rPr>
          <w:rFonts w:cstheme="minorHAnsi"/>
        </w:rPr>
        <w:t xml:space="preserve">who </w:t>
      </w:r>
      <w:r w:rsidR="00B21B10" w:rsidRPr="009F79F8">
        <w:rPr>
          <w:rFonts w:cstheme="minorHAnsi"/>
        </w:rPr>
        <w:t xml:space="preserve">do not have </w:t>
      </w:r>
      <w:r w:rsidR="0034415E" w:rsidRPr="009F79F8">
        <w:rPr>
          <w:rFonts w:cstheme="minorHAnsi"/>
        </w:rPr>
        <w:t>the time to wait for improvements to come into effect</w:t>
      </w:r>
      <w:r w:rsidR="00B21B10" w:rsidRPr="009F79F8">
        <w:rPr>
          <w:rFonts w:cstheme="minorHAnsi"/>
        </w:rPr>
        <w:t>.</w:t>
      </w:r>
      <w:r w:rsidR="0034415E" w:rsidRPr="009F79F8">
        <w:rPr>
          <w:rFonts w:cstheme="minorHAnsi"/>
        </w:rPr>
        <w:t xml:space="preserve"> </w:t>
      </w:r>
      <w:r w:rsidR="00C82466" w:rsidRPr="009F79F8">
        <w:rPr>
          <w:rFonts w:cstheme="minorHAnsi"/>
        </w:rPr>
        <w:t xml:space="preserve"> </w:t>
      </w:r>
      <w:r w:rsidR="007D5EB5" w:rsidRPr="009F79F8">
        <w:rPr>
          <w:rFonts w:cstheme="minorHAnsi"/>
        </w:rPr>
        <w:t>It is difficult to imagine that urgent,</w:t>
      </w:r>
      <w:r w:rsidR="00B21B10" w:rsidRPr="009F79F8">
        <w:rPr>
          <w:rFonts w:cstheme="minorHAnsi"/>
        </w:rPr>
        <w:t xml:space="preserve"> significant change can be achieved through the proposed Code amendments, however well</w:t>
      </w:r>
      <w:r w:rsidR="004D59C9" w:rsidRPr="009F79F8">
        <w:rPr>
          <w:rFonts w:cstheme="minorHAnsi"/>
        </w:rPr>
        <w:t>- intentioned.</w:t>
      </w:r>
    </w:p>
    <w:p w:rsidR="004D59C9" w:rsidRPr="009F79F8" w:rsidRDefault="004D59C9" w:rsidP="00B21B10">
      <w:pPr>
        <w:rPr>
          <w:rFonts w:cstheme="minorHAnsi"/>
        </w:rPr>
      </w:pPr>
    </w:p>
    <w:p w:rsidR="00B21B10" w:rsidRPr="009F79F8" w:rsidRDefault="00825917" w:rsidP="00B21B10">
      <w:pPr>
        <w:rPr>
          <w:rFonts w:cstheme="minorHAnsi"/>
        </w:rPr>
      </w:pPr>
      <w:r w:rsidRPr="009F79F8">
        <w:rPr>
          <w:rFonts w:cstheme="minorHAnsi"/>
        </w:rPr>
        <w:t>This is p</w:t>
      </w:r>
      <w:r w:rsidR="00B21B10" w:rsidRPr="009F79F8">
        <w:rPr>
          <w:rFonts w:cstheme="minorHAnsi"/>
        </w:rPr>
        <w:t xml:space="preserve">articularly </w:t>
      </w:r>
      <w:r w:rsidRPr="009F79F8">
        <w:rPr>
          <w:rFonts w:cstheme="minorHAnsi"/>
        </w:rPr>
        <w:t xml:space="preserve">the case </w:t>
      </w:r>
      <w:r w:rsidR="00B21B10" w:rsidRPr="009F79F8">
        <w:rPr>
          <w:rFonts w:cstheme="minorHAnsi"/>
        </w:rPr>
        <w:t>given the extent to wh</w:t>
      </w:r>
      <w:r w:rsidR="00034814" w:rsidRPr="009F79F8">
        <w:rPr>
          <w:rFonts w:cstheme="minorHAnsi"/>
        </w:rPr>
        <w:t xml:space="preserve">ich some operators are dependent </w:t>
      </w:r>
      <w:r w:rsidR="00B21B10" w:rsidRPr="009F79F8">
        <w:rPr>
          <w:rFonts w:cstheme="minorHAnsi"/>
        </w:rPr>
        <w:t>on HVC income</w:t>
      </w:r>
      <w:r w:rsidR="00B21B10" w:rsidRPr="009F79F8">
        <w:rPr>
          <w:rStyle w:val="FootnoteReference"/>
          <w:rFonts w:cstheme="minorHAnsi"/>
        </w:rPr>
        <w:footnoteReference w:id="3"/>
      </w:r>
      <w:r w:rsidR="00B21B10" w:rsidRPr="009F79F8">
        <w:rPr>
          <w:rFonts w:cstheme="minorHAnsi"/>
        </w:rPr>
        <w:t xml:space="preserve">.  For this reason, we </w:t>
      </w:r>
      <w:r w:rsidRPr="009F79F8">
        <w:rPr>
          <w:rFonts w:cstheme="minorHAnsi"/>
        </w:rPr>
        <w:t xml:space="preserve">wish to </w:t>
      </w:r>
      <w:r w:rsidR="00B21B10" w:rsidRPr="009F79F8">
        <w:rPr>
          <w:rFonts w:cstheme="minorHAnsi"/>
        </w:rPr>
        <w:t>repeat our call for a</w:t>
      </w:r>
      <w:r w:rsidRPr="009F79F8">
        <w:rPr>
          <w:rFonts w:cstheme="minorHAnsi"/>
        </w:rPr>
        <w:t>n immediate</w:t>
      </w:r>
      <w:r w:rsidR="00B21B10" w:rsidRPr="009F79F8">
        <w:rPr>
          <w:rFonts w:cstheme="minorHAnsi"/>
        </w:rPr>
        <w:t xml:space="preserve"> ban on HVC schemes/incentives</w:t>
      </w:r>
      <w:r w:rsidRPr="009F79F8">
        <w:rPr>
          <w:rFonts w:cstheme="minorHAnsi"/>
        </w:rPr>
        <w:t>.</w:t>
      </w:r>
    </w:p>
    <w:p w:rsidR="00291274" w:rsidRPr="009F79F8" w:rsidRDefault="00291274" w:rsidP="00291274">
      <w:pPr>
        <w:rPr>
          <w:rFonts w:cstheme="minorHAnsi"/>
        </w:rPr>
      </w:pPr>
    </w:p>
    <w:p w:rsidR="00914A3A" w:rsidRPr="009F79F8" w:rsidRDefault="007D5EB5" w:rsidP="00914A3A">
      <w:pPr>
        <w:rPr>
          <w:rFonts w:cstheme="minorHAnsi"/>
        </w:rPr>
      </w:pPr>
      <w:r w:rsidRPr="009F79F8">
        <w:rPr>
          <w:rFonts w:cstheme="minorHAnsi"/>
        </w:rPr>
        <w:t>Meanwhile</w:t>
      </w:r>
      <w:r w:rsidR="0034415E" w:rsidRPr="009F79F8">
        <w:rPr>
          <w:rFonts w:cstheme="minorHAnsi"/>
        </w:rPr>
        <w:t>,</w:t>
      </w:r>
      <w:r w:rsidR="00E12972" w:rsidRPr="009F79F8">
        <w:rPr>
          <w:rFonts w:cstheme="minorHAnsi"/>
        </w:rPr>
        <w:t xml:space="preserve"> we suggest that</w:t>
      </w:r>
      <w:r w:rsidR="0034415E" w:rsidRPr="009F79F8">
        <w:rPr>
          <w:rFonts w:cstheme="minorHAnsi"/>
        </w:rPr>
        <w:t xml:space="preserve"> it would be helpful if the Commission </w:t>
      </w:r>
      <w:r w:rsidR="00C57970" w:rsidRPr="009F79F8">
        <w:rPr>
          <w:rFonts w:cstheme="minorHAnsi"/>
        </w:rPr>
        <w:t>could</w:t>
      </w:r>
      <w:r w:rsidR="0034415E" w:rsidRPr="009F79F8">
        <w:rPr>
          <w:rFonts w:cstheme="minorHAnsi"/>
        </w:rPr>
        <w:t xml:space="preserve"> provide an explicit statement </w:t>
      </w:r>
      <w:r w:rsidRPr="009F79F8">
        <w:rPr>
          <w:rFonts w:cstheme="minorHAnsi"/>
        </w:rPr>
        <w:t xml:space="preserve">on </w:t>
      </w:r>
      <w:r w:rsidR="0034415E" w:rsidRPr="009F79F8">
        <w:rPr>
          <w:rFonts w:cstheme="minorHAnsi"/>
        </w:rPr>
        <w:t xml:space="preserve">how it intends to measure the effectiveness of any new measures implemented by the industry, as </w:t>
      </w:r>
      <w:r w:rsidR="00914A3A" w:rsidRPr="009F79F8">
        <w:rPr>
          <w:rFonts w:cstheme="minorHAnsi"/>
        </w:rPr>
        <w:t>described</w:t>
      </w:r>
      <w:r w:rsidR="0034415E" w:rsidRPr="009F79F8">
        <w:rPr>
          <w:rFonts w:cstheme="minorHAnsi"/>
        </w:rPr>
        <w:t xml:space="preserve"> in</w:t>
      </w:r>
      <w:r w:rsidR="00C3131C" w:rsidRPr="009F79F8">
        <w:rPr>
          <w:rFonts w:cstheme="minorHAnsi"/>
        </w:rPr>
        <w:t xml:space="preserve"> its update report of the </w:t>
      </w:r>
      <w:r w:rsidR="00975060">
        <w:rPr>
          <w:rFonts w:cstheme="minorHAnsi"/>
        </w:rPr>
        <w:t>HVC Industry C</w:t>
      </w:r>
      <w:r w:rsidR="0034415E" w:rsidRPr="009F79F8">
        <w:rPr>
          <w:rFonts w:cstheme="minorHAnsi"/>
        </w:rPr>
        <w:t xml:space="preserve">hallenge. We hope that this would also </w:t>
      </w:r>
      <w:r w:rsidR="00C3131C" w:rsidRPr="009F79F8">
        <w:rPr>
          <w:rFonts w:cstheme="minorHAnsi"/>
        </w:rPr>
        <w:t xml:space="preserve">include </w:t>
      </w:r>
      <w:r w:rsidR="00C57970" w:rsidRPr="009F79F8">
        <w:rPr>
          <w:rFonts w:cstheme="minorHAnsi"/>
        </w:rPr>
        <w:t xml:space="preserve">specific </w:t>
      </w:r>
      <w:r w:rsidR="004A0AA8" w:rsidRPr="009F79F8">
        <w:rPr>
          <w:rFonts w:cstheme="minorHAnsi"/>
        </w:rPr>
        <w:t xml:space="preserve">sanctions </w:t>
      </w:r>
      <w:r w:rsidR="00C57970" w:rsidRPr="009F79F8">
        <w:rPr>
          <w:rFonts w:cstheme="minorHAnsi"/>
        </w:rPr>
        <w:t xml:space="preserve">which </w:t>
      </w:r>
      <w:r w:rsidR="004A0AA8" w:rsidRPr="009F79F8">
        <w:rPr>
          <w:rFonts w:cstheme="minorHAnsi"/>
        </w:rPr>
        <w:t xml:space="preserve">will be </w:t>
      </w:r>
      <w:r w:rsidR="00C3131C" w:rsidRPr="009F79F8">
        <w:rPr>
          <w:rFonts w:cstheme="minorHAnsi"/>
        </w:rPr>
        <w:t>applied</w:t>
      </w:r>
      <w:r w:rsidRPr="009F79F8">
        <w:rPr>
          <w:rFonts w:cstheme="minorHAnsi"/>
        </w:rPr>
        <w:t>,</w:t>
      </w:r>
      <w:r w:rsidR="00C3131C" w:rsidRPr="009F79F8">
        <w:rPr>
          <w:rFonts w:cstheme="minorHAnsi"/>
        </w:rPr>
        <w:t xml:space="preserve"> should further malpractice be</w:t>
      </w:r>
      <w:r w:rsidR="004A0AA8" w:rsidRPr="009F79F8">
        <w:rPr>
          <w:rFonts w:cstheme="minorHAnsi"/>
        </w:rPr>
        <w:t xml:space="preserve"> identified.</w:t>
      </w:r>
      <w:r w:rsidR="00C57970" w:rsidRPr="009F79F8">
        <w:rPr>
          <w:rFonts w:cstheme="minorHAnsi"/>
        </w:rPr>
        <w:t xml:space="preserve"> </w:t>
      </w:r>
      <w:r w:rsidRPr="009F79F8">
        <w:rPr>
          <w:rFonts w:cstheme="minorHAnsi"/>
        </w:rPr>
        <w:t xml:space="preserve"> </w:t>
      </w:r>
      <w:r w:rsidR="00914A3A" w:rsidRPr="009F79F8">
        <w:rPr>
          <w:rFonts w:cstheme="minorHAnsi"/>
        </w:rPr>
        <w:t xml:space="preserve">The APPG report highlights the need for these to be of sufficient weight to </w:t>
      </w:r>
      <w:r w:rsidRPr="009F79F8">
        <w:rPr>
          <w:rFonts w:cstheme="minorHAnsi"/>
        </w:rPr>
        <w:t>be</w:t>
      </w:r>
      <w:r w:rsidR="00914A3A" w:rsidRPr="009F79F8">
        <w:rPr>
          <w:rFonts w:cstheme="minorHAnsi"/>
        </w:rPr>
        <w:t xml:space="preserve"> a genuine deterrent: </w:t>
      </w:r>
      <w:r w:rsidR="00914A3A" w:rsidRPr="009F79F8">
        <w:rPr>
          <w:rFonts w:cstheme="minorHAnsi"/>
          <w:i/>
        </w:rPr>
        <w:t>‘We are concerned that fines to companies for offering inducements inappropriately have very little impact on this well-resourced and well-funded industry.’</w:t>
      </w:r>
      <w:r w:rsidR="00E12972" w:rsidRPr="009F79F8">
        <w:rPr>
          <w:rFonts w:cstheme="minorHAnsi"/>
          <w:i/>
        </w:rPr>
        <w:t xml:space="preserve"> </w:t>
      </w:r>
    </w:p>
    <w:p w:rsidR="00C82466" w:rsidRPr="009F79F8" w:rsidRDefault="00C82466">
      <w:pPr>
        <w:rPr>
          <w:rFonts w:cstheme="minorHAnsi"/>
          <w:b/>
        </w:rPr>
      </w:pPr>
    </w:p>
    <w:p w:rsidR="00A81977" w:rsidRPr="009F79F8" w:rsidRDefault="00CF17B6" w:rsidP="004D59C9">
      <w:pPr>
        <w:tabs>
          <w:tab w:val="left" w:pos="426"/>
        </w:tabs>
        <w:rPr>
          <w:rFonts w:cstheme="minorHAnsi"/>
          <w:b/>
        </w:rPr>
      </w:pPr>
      <w:r w:rsidRPr="009F79F8">
        <w:rPr>
          <w:rFonts w:cstheme="minorHAnsi"/>
          <w:b/>
        </w:rPr>
        <w:t>Do you agree with the proposed use of guidance to help explain the new LCCP requirements?</w:t>
      </w:r>
    </w:p>
    <w:p w:rsidR="000C001B" w:rsidRPr="009F79F8" w:rsidRDefault="00987B51" w:rsidP="003156B6">
      <w:pPr>
        <w:rPr>
          <w:rFonts w:cstheme="minorHAnsi"/>
        </w:rPr>
      </w:pPr>
      <w:r w:rsidRPr="009F79F8">
        <w:rPr>
          <w:rFonts w:cstheme="minorHAnsi"/>
        </w:rPr>
        <w:t xml:space="preserve">We understand the necessity to restrict lengthy additions to the SR Code, and the need to minimise duplication i.e. with SR Code 3.4.1 (Customer Interaction). </w:t>
      </w:r>
      <w:r w:rsidR="00D172E3" w:rsidRPr="009F79F8">
        <w:rPr>
          <w:rFonts w:cstheme="minorHAnsi"/>
        </w:rPr>
        <w:t xml:space="preserve"> </w:t>
      </w:r>
      <w:r w:rsidR="00A2214C" w:rsidRPr="009F79F8">
        <w:rPr>
          <w:rFonts w:cstheme="minorHAnsi"/>
        </w:rPr>
        <w:t xml:space="preserve">We are also aware of the Commission’s continued preference for providing succinct Code requirements, supported by guidance documentation. </w:t>
      </w:r>
      <w:r w:rsidR="008471E7" w:rsidRPr="009F79F8">
        <w:rPr>
          <w:rFonts w:cstheme="minorHAnsi"/>
        </w:rPr>
        <w:t xml:space="preserve"> </w:t>
      </w:r>
      <w:r w:rsidR="00E12972" w:rsidRPr="009F79F8">
        <w:rPr>
          <w:rFonts w:cstheme="minorHAnsi"/>
        </w:rPr>
        <w:t>In t</w:t>
      </w:r>
      <w:r w:rsidR="000C001B" w:rsidRPr="009F79F8">
        <w:rPr>
          <w:rFonts w:cstheme="minorHAnsi"/>
        </w:rPr>
        <w:t>he consultation</w:t>
      </w:r>
      <w:r w:rsidR="00E12972" w:rsidRPr="009F79F8">
        <w:rPr>
          <w:rFonts w:cstheme="minorHAnsi"/>
        </w:rPr>
        <w:t>, it</w:t>
      </w:r>
      <w:r w:rsidR="000C001B" w:rsidRPr="009F79F8">
        <w:rPr>
          <w:rFonts w:cstheme="minorHAnsi"/>
        </w:rPr>
        <w:t xml:space="preserve"> </w:t>
      </w:r>
      <w:r w:rsidR="00E12972" w:rsidRPr="009F79F8">
        <w:rPr>
          <w:rFonts w:cstheme="minorHAnsi"/>
        </w:rPr>
        <w:t xml:space="preserve">confirms </w:t>
      </w:r>
      <w:r w:rsidRPr="009F79F8">
        <w:rPr>
          <w:rFonts w:cstheme="minorHAnsi"/>
        </w:rPr>
        <w:t>that the effectiveness of this approach depends on ‘</w:t>
      </w:r>
      <w:r w:rsidRPr="009F79F8">
        <w:rPr>
          <w:rFonts w:cstheme="minorHAnsi"/>
          <w:i/>
        </w:rPr>
        <w:t xml:space="preserve">licensees taking responsibility for ensuring that they operate their businesses to comply with both the letter and the spirit of the requirement.’ </w:t>
      </w:r>
      <w:r w:rsidRPr="009F79F8">
        <w:rPr>
          <w:rFonts w:cstheme="minorHAnsi"/>
        </w:rPr>
        <w:t xml:space="preserve"> </w:t>
      </w:r>
      <w:r w:rsidR="003156B6" w:rsidRPr="009F79F8">
        <w:rPr>
          <w:rFonts w:cstheme="minorHAnsi"/>
        </w:rPr>
        <w:t xml:space="preserve"> </w:t>
      </w:r>
    </w:p>
    <w:p w:rsidR="000C001B" w:rsidRPr="009F79F8" w:rsidRDefault="000C001B" w:rsidP="003156B6">
      <w:pPr>
        <w:rPr>
          <w:rFonts w:cstheme="minorHAnsi"/>
        </w:rPr>
      </w:pPr>
    </w:p>
    <w:p w:rsidR="003156B6" w:rsidRPr="009F79F8" w:rsidRDefault="003156B6" w:rsidP="003156B6">
      <w:pPr>
        <w:rPr>
          <w:rFonts w:cstheme="minorHAnsi"/>
        </w:rPr>
      </w:pPr>
      <w:r w:rsidRPr="009F79F8">
        <w:rPr>
          <w:rFonts w:cstheme="minorHAnsi"/>
        </w:rPr>
        <w:t>We are seriously concerned that the Commission is proposi</w:t>
      </w:r>
      <w:r w:rsidR="008471E7" w:rsidRPr="009F79F8">
        <w:rPr>
          <w:rFonts w:cstheme="minorHAnsi"/>
        </w:rPr>
        <w:t>ng to offer the industry</w:t>
      </w:r>
      <w:r w:rsidR="00E12972" w:rsidRPr="009F79F8">
        <w:rPr>
          <w:rFonts w:cstheme="minorHAnsi"/>
        </w:rPr>
        <w:t xml:space="preserve"> </w:t>
      </w:r>
      <w:r w:rsidRPr="009F79F8">
        <w:rPr>
          <w:rFonts w:cstheme="minorHAnsi"/>
        </w:rPr>
        <w:t xml:space="preserve">flexibility, rather than prescription, </w:t>
      </w:r>
      <w:r w:rsidR="000C001B" w:rsidRPr="009F79F8">
        <w:rPr>
          <w:rFonts w:cstheme="minorHAnsi"/>
        </w:rPr>
        <w:t xml:space="preserve">regarding </w:t>
      </w:r>
      <w:r w:rsidRPr="009F79F8">
        <w:rPr>
          <w:rFonts w:cstheme="minorHAnsi"/>
        </w:rPr>
        <w:t xml:space="preserve">how they respond to the revised Code and guidance.  </w:t>
      </w:r>
      <w:r w:rsidR="008471E7" w:rsidRPr="009F79F8">
        <w:rPr>
          <w:rFonts w:cstheme="minorHAnsi"/>
        </w:rPr>
        <w:t>We appreciate that operators’ businesses vary greatly in terms of size and complexity, and the guidance does</w:t>
      </w:r>
      <w:r w:rsidRPr="009F79F8">
        <w:rPr>
          <w:rFonts w:cstheme="minorHAnsi"/>
        </w:rPr>
        <w:t xml:space="preserve"> p</w:t>
      </w:r>
      <w:r w:rsidR="008471E7" w:rsidRPr="009F79F8">
        <w:rPr>
          <w:rFonts w:cstheme="minorHAnsi"/>
        </w:rPr>
        <w:t>rovide</w:t>
      </w:r>
      <w:r w:rsidRPr="009F79F8">
        <w:rPr>
          <w:rFonts w:cstheme="minorHAnsi"/>
        </w:rPr>
        <w:t xml:space="preserve"> </w:t>
      </w:r>
      <w:r w:rsidR="000C001B" w:rsidRPr="009F79F8">
        <w:rPr>
          <w:rFonts w:cstheme="minorHAnsi"/>
        </w:rPr>
        <w:t xml:space="preserve">some </w:t>
      </w:r>
      <w:r w:rsidRPr="009F79F8">
        <w:rPr>
          <w:rFonts w:cstheme="minorHAnsi"/>
        </w:rPr>
        <w:t>clear and helpful information, informed by good</w:t>
      </w:r>
      <w:r w:rsidR="000C001B" w:rsidRPr="009F79F8">
        <w:rPr>
          <w:rFonts w:cstheme="minorHAnsi"/>
        </w:rPr>
        <w:t xml:space="preserve"> practice with which many operators will already be familiar.  Despite this, s</w:t>
      </w:r>
      <w:r w:rsidRPr="009F79F8">
        <w:rPr>
          <w:rFonts w:cstheme="minorHAnsi"/>
        </w:rPr>
        <w:t xml:space="preserve">ome </w:t>
      </w:r>
      <w:r w:rsidR="000C001B" w:rsidRPr="009F79F8">
        <w:rPr>
          <w:rFonts w:cstheme="minorHAnsi"/>
        </w:rPr>
        <w:t>have</w:t>
      </w:r>
      <w:r w:rsidRPr="009F79F8">
        <w:rPr>
          <w:rFonts w:cstheme="minorHAnsi"/>
        </w:rPr>
        <w:t xml:space="preserve"> chosen to conduct their HVC business in ways that exacerbate gambling-related harm</w:t>
      </w:r>
      <w:r w:rsidR="000C001B" w:rsidRPr="009F79F8">
        <w:rPr>
          <w:rFonts w:cstheme="minorHAnsi"/>
        </w:rPr>
        <w:t xml:space="preserve"> and, we suggest, may continue to do so in the absence of legally enforceable regulation.</w:t>
      </w:r>
      <w:r w:rsidRPr="009F79F8">
        <w:rPr>
          <w:rFonts w:cstheme="minorHAnsi"/>
        </w:rPr>
        <w:t xml:space="preserve">  </w:t>
      </w:r>
    </w:p>
    <w:p w:rsidR="003156B6" w:rsidRPr="009F79F8" w:rsidRDefault="003156B6" w:rsidP="00987B51">
      <w:pPr>
        <w:rPr>
          <w:rFonts w:cstheme="minorHAnsi"/>
        </w:rPr>
      </w:pPr>
    </w:p>
    <w:p w:rsidR="008471E7" w:rsidRPr="009F79F8" w:rsidRDefault="008471E7" w:rsidP="008471E7">
      <w:pPr>
        <w:rPr>
          <w:rFonts w:cstheme="minorHAnsi"/>
        </w:rPr>
      </w:pPr>
      <w:r w:rsidRPr="009F79F8">
        <w:rPr>
          <w:rFonts w:cstheme="minorHAnsi"/>
        </w:rPr>
        <w:t>The voluntary ban on offering VIP st</w:t>
      </w:r>
      <w:r w:rsidR="00206458">
        <w:rPr>
          <w:rFonts w:cstheme="minorHAnsi"/>
        </w:rPr>
        <w:t xml:space="preserve">atus to customers aged </w:t>
      </w:r>
      <w:proofErr w:type="gramStart"/>
      <w:r w:rsidR="00206458">
        <w:rPr>
          <w:rFonts w:cstheme="minorHAnsi"/>
        </w:rPr>
        <w:t>under</w:t>
      </w:r>
      <w:proofErr w:type="gramEnd"/>
      <w:r w:rsidR="00206458">
        <w:rPr>
          <w:rFonts w:cstheme="minorHAnsi"/>
        </w:rPr>
        <w:t xml:space="preserve"> 25 </w:t>
      </w:r>
      <w:r w:rsidRPr="009F79F8">
        <w:rPr>
          <w:rFonts w:cstheme="minorHAnsi"/>
        </w:rPr>
        <w:t xml:space="preserve">introduced </w:t>
      </w:r>
      <w:r w:rsidR="000C001B" w:rsidRPr="009F79F8">
        <w:rPr>
          <w:rFonts w:cstheme="minorHAnsi"/>
        </w:rPr>
        <w:t xml:space="preserve">recently </w:t>
      </w:r>
      <w:r w:rsidRPr="009F79F8">
        <w:rPr>
          <w:rFonts w:cstheme="minorHAnsi"/>
        </w:rPr>
        <w:t xml:space="preserve">by some operators </w:t>
      </w:r>
      <w:r w:rsidR="00E12972" w:rsidRPr="009F79F8">
        <w:rPr>
          <w:rFonts w:cstheme="minorHAnsi"/>
        </w:rPr>
        <w:t>has been cited as a</w:t>
      </w:r>
      <w:r w:rsidR="000C001B" w:rsidRPr="009F79F8">
        <w:rPr>
          <w:rFonts w:cstheme="minorHAnsi"/>
        </w:rPr>
        <w:t xml:space="preserve"> sign that the industry has acknowledged the need to improve its standards</w:t>
      </w:r>
      <w:r w:rsidRPr="009F79F8">
        <w:rPr>
          <w:rFonts w:cstheme="minorHAnsi"/>
        </w:rPr>
        <w:t>.  However, we have been unable to find any data confirming the proportion of current HVCs in this age group, which may represent a relatively small sub-set of HVCs overall.  If so, the ban will have limited impact on either harms or profits.  In addition, older HVCs are not necessarily less vulnerable, and are more likely to have families, including dependent children, who will be deeply affected.  As the Commission’s experts by experience pointed out:</w:t>
      </w:r>
      <w:r w:rsidRPr="009F79F8">
        <w:rPr>
          <w:rFonts w:cstheme="minorHAnsi"/>
          <w:i/>
        </w:rPr>
        <w:t xml:space="preserve"> ‘schemes are either safe or not.’</w:t>
      </w:r>
    </w:p>
    <w:p w:rsidR="008471E7" w:rsidRPr="009F79F8" w:rsidRDefault="008471E7" w:rsidP="003156B6">
      <w:pPr>
        <w:rPr>
          <w:rFonts w:cstheme="minorHAnsi"/>
        </w:rPr>
      </w:pPr>
    </w:p>
    <w:p w:rsidR="008471E7" w:rsidRPr="009F79F8" w:rsidRDefault="000C001B" w:rsidP="00A81977">
      <w:pPr>
        <w:rPr>
          <w:rFonts w:cstheme="minorHAnsi"/>
        </w:rPr>
      </w:pPr>
      <w:r w:rsidRPr="009F79F8">
        <w:rPr>
          <w:rFonts w:cstheme="minorHAnsi"/>
        </w:rPr>
        <w:t>We f</w:t>
      </w:r>
      <w:r w:rsidR="003156B6" w:rsidRPr="009F79F8">
        <w:rPr>
          <w:rFonts w:cstheme="minorHAnsi"/>
        </w:rPr>
        <w:t>ear</w:t>
      </w:r>
      <w:r w:rsidRPr="009F79F8">
        <w:rPr>
          <w:rFonts w:cstheme="minorHAnsi"/>
        </w:rPr>
        <w:t xml:space="preserve"> that the flexible approach proposed in this consultation may</w:t>
      </w:r>
      <w:r w:rsidR="003156B6" w:rsidRPr="009F79F8">
        <w:rPr>
          <w:rFonts w:cstheme="minorHAnsi"/>
        </w:rPr>
        <w:t xml:space="preserve"> lead to many more customers, their families and communities experiencing long-term harms and hardship, particularly at this time of economic uncertainty and increased stress related to the COVID-19 pandemic. </w:t>
      </w:r>
      <w:r w:rsidR="008471E7" w:rsidRPr="009F79F8">
        <w:rPr>
          <w:rFonts w:cstheme="minorHAnsi"/>
        </w:rPr>
        <w:t xml:space="preserve">  </w:t>
      </w:r>
    </w:p>
    <w:p w:rsidR="008471E7" w:rsidRPr="009F79F8" w:rsidRDefault="008471E7" w:rsidP="00A81977">
      <w:pPr>
        <w:rPr>
          <w:rFonts w:cstheme="minorHAnsi"/>
        </w:rPr>
      </w:pPr>
    </w:p>
    <w:p w:rsidR="00987B51" w:rsidRPr="009F79F8" w:rsidRDefault="000C001B" w:rsidP="00A81977">
      <w:pPr>
        <w:rPr>
          <w:rFonts w:cstheme="minorHAnsi"/>
        </w:rPr>
      </w:pPr>
      <w:r w:rsidRPr="009F79F8">
        <w:rPr>
          <w:rFonts w:cstheme="minorHAnsi"/>
        </w:rPr>
        <w:t xml:space="preserve">One </w:t>
      </w:r>
      <w:r w:rsidR="000A2583" w:rsidRPr="009F79F8">
        <w:rPr>
          <w:rFonts w:cstheme="minorHAnsi"/>
        </w:rPr>
        <w:t>alt</w:t>
      </w:r>
      <w:r w:rsidRPr="009F79F8">
        <w:rPr>
          <w:rFonts w:cstheme="minorHAnsi"/>
        </w:rPr>
        <w:t>ernative would be to issue</w:t>
      </w:r>
      <w:r w:rsidR="000A2583" w:rsidRPr="009F79F8">
        <w:rPr>
          <w:rFonts w:cstheme="minorHAnsi"/>
        </w:rPr>
        <w:t xml:space="preserve"> </w:t>
      </w:r>
      <w:r w:rsidR="004404C2" w:rsidRPr="009F79F8">
        <w:rPr>
          <w:rFonts w:cstheme="minorHAnsi"/>
        </w:rPr>
        <w:t>a</w:t>
      </w:r>
      <w:r w:rsidR="00987B51" w:rsidRPr="009F79F8">
        <w:rPr>
          <w:rFonts w:cstheme="minorHAnsi"/>
        </w:rPr>
        <w:t xml:space="preserve"> checklist </w:t>
      </w:r>
      <w:r w:rsidRPr="009F79F8">
        <w:rPr>
          <w:rFonts w:cstheme="minorHAnsi"/>
        </w:rPr>
        <w:t>specifying</w:t>
      </w:r>
      <w:r w:rsidR="000A2583" w:rsidRPr="009F79F8">
        <w:rPr>
          <w:rFonts w:cstheme="minorHAnsi"/>
        </w:rPr>
        <w:t xml:space="preserve"> </w:t>
      </w:r>
      <w:r w:rsidR="00987B51" w:rsidRPr="009F79F8">
        <w:rPr>
          <w:rFonts w:cstheme="minorHAnsi"/>
        </w:rPr>
        <w:t xml:space="preserve">measures which must be </w:t>
      </w:r>
      <w:r w:rsidR="000A2583" w:rsidRPr="009F79F8">
        <w:rPr>
          <w:rFonts w:cstheme="minorHAnsi"/>
        </w:rPr>
        <w:t>implemented</w:t>
      </w:r>
      <w:r w:rsidR="00987B51" w:rsidRPr="009F79F8">
        <w:rPr>
          <w:rFonts w:cstheme="minorHAnsi"/>
        </w:rPr>
        <w:t xml:space="preserve">, and the evidence the Commission will require in order </w:t>
      </w:r>
      <w:proofErr w:type="gramStart"/>
      <w:r w:rsidR="00987B51" w:rsidRPr="009F79F8">
        <w:rPr>
          <w:rFonts w:cstheme="minorHAnsi"/>
        </w:rPr>
        <w:t>to assess</w:t>
      </w:r>
      <w:proofErr w:type="gramEnd"/>
      <w:r w:rsidR="00987B51" w:rsidRPr="009F79F8">
        <w:rPr>
          <w:rFonts w:cstheme="minorHAnsi"/>
        </w:rPr>
        <w:t xml:space="preserve"> operators’ adherence to Code 5.1.1.  The </w:t>
      </w:r>
      <w:r w:rsidR="004404C2" w:rsidRPr="009F79F8">
        <w:rPr>
          <w:rFonts w:cstheme="minorHAnsi"/>
        </w:rPr>
        <w:lastRenderedPageBreak/>
        <w:t xml:space="preserve">proposed </w:t>
      </w:r>
      <w:r w:rsidR="00987B51" w:rsidRPr="009F79F8">
        <w:rPr>
          <w:rFonts w:cstheme="minorHAnsi"/>
        </w:rPr>
        <w:t>guidance could then be used to inform the development of good practice and staff training.</w:t>
      </w:r>
    </w:p>
    <w:p w:rsidR="00615E9F" w:rsidRPr="009F79F8" w:rsidRDefault="00615E9F">
      <w:pPr>
        <w:rPr>
          <w:rFonts w:cstheme="minorHAnsi"/>
          <w:b/>
        </w:rPr>
      </w:pPr>
    </w:p>
    <w:p w:rsidR="003908A5" w:rsidRPr="009F79F8" w:rsidRDefault="00CF17B6" w:rsidP="004D59C9">
      <w:pPr>
        <w:tabs>
          <w:tab w:val="left" w:pos="426"/>
        </w:tabs>
        <w:rPr>
          <w:rFonts w:cstheme="minorHAnsi"/>
          <w:b/>
        </w:rPr>
      </w:pPr>
      <w:r w:rsidRPr="009F79F8">
        <w:rPr>
          <w:rFonts w:cstheme="minorHAnsi"/>
          <w:b/>
        </w:rPr>
        <w:t xml:space="preserve">Do you agree with the proposed guidance on what know your customer checks should be undertaken on HVCs? </w:t>
      </w:r>
    </w:p>
    <w:p w:rsidR="00B3790B" w:rsidRPr="009F79F8" w:rsidRDefault="003908A5" w:rsidP="00B3790B">
      <w:pPr>
        <w:rPr>
          <w:rFonts w:cstheme="minorHAnsi"/>
        </w:rPr>
      </w:pPr>
      <w:r w:rsidRPr="009F79F8">
        <w:rPr>
          <w:rFonts w:cstheme="minorHAnsi"/>
        </w:rPr>
        <w:t xml:space="preserve">Section 2.14 of the guidance highlights </w:t>
      </w:r>
      <w:r w:rsidRPr="009F79F8">
        <w:rPr>
          <w:rFonts w:cstheme="minorHAnsi"/>
          <w:i/>
        </w:rPr>
        <w:t xml:space="preserve">‘a risk of commercial motivations conflicting with regulatory compliance.’ </w:t>
      </w:r>
      <w:r w:rsidR="004D59C9" w:rsidRPr="009F79F8">
        <w:rPr>
          <w:rFonts w:cstheme="minorHAnsi"/>
          <w:i/>
        </w:rPr>
        <w:t xml:space="preserve"> </w:t>
      </w:r>
      <w:r w:rsidRPr="009F79F8">
        <w:rPr>
          <w:rFonts w:cstheme="minorHAnsi"/>
        </w:rPr>
        <w:t>Whilst we</w:t>
      </w:r>
      <w:r w:rsidR="00481208" w:rsidRPr="009F79F8">
        <w:rPr>
          <w:rFonts w:cstheme="minorHAnsi"/>
        </w:rPr>
        <w:t xml:space="preserve"> support the need for</w:t>
      </w:r>
      <w:r w:rsidRPr="009F79F8">
        <w:rPr>
          <w:rFonts w:cstheme="minorHAnsi"/>
        </w:rPr>
        <w:t xml:space="preserve"> checks </w:t>
      </w:r>
      <w:r w:rsidR="00481208" w:rsidRPr="009F79F8">
        <w:rPr>
          <w:rFonts w:cstheme="minorHAnsi"/>
        </w:rPr>
        <w:t xml:space="preserve">which could help </w:t>
      </w:r>
      <w:r w:rsidRPr="009F79F8">
        <w:rPr>
          <w:rFonts w:cstheme="minorHAnsi"/>
        </w:rPr>
        <w:t xml:space="preserve">to mitigate risks </w:t>
      </w:r>
      <w:r w:rsidR="00481208" w:rsidRPr="009F79F8">
        <w:rPr>
          <w:rFonts w:cstheme="minorHAnsi"/>
        </w:rPr>
        <w:t>for</w:t>
      </w:r>
      <w:r w:rsidRPr="009F79F8">
        <w:rPr>
          <w:rFonts w:cstheme="minorHAnsi"/>
        </w:rPr>
        <w:t xml:space="preserve"> vulnera</w:t>
      </w:r>
      <w:r w:rsidR="00481208" w:rsidRPr="009F79F8">
        <w:rPr>
          <w:rFonts w:cstheme="minorHAnsi"/>
        </w:rPr>
        <w:t>ble customers</w:t>
      </w:r>
      <w:r w:rsidRPr="009F79F8">
        <w:rPr>
          <w:rFonts w:cstheme="minorHAnsi"/>
        </w:rPr>
        <w:t>, we do not believe that this conf</w:t>
      </w:r>
      <w:r w:rsidR="00481208" w:rsidRPr="009F79F8">
        <w:rPr>
          <w:rFonts w:cstheme="minorHAnsi"/>
        </w:rPr>
        <w:t>lict can be resolved swiftly or</w:t>
      </w:r>
      <w:r w:rsidR="00E12972" w:rsidRPr="009F79F8">
        <w:rPr>
          <w:rFonts w:cstheme="minorHAnsi"/>
        </w:rPr>
        <w:t>, in some cases,</w:t>
      </w:r>
      <w:r w:rsidRPr="009F79F8">
        <w:rPr>
          <w:rFonts w:cstheme="minorHAnsi"/>
        </w:rPr>
        <w:t xml:space="preserve"> without regulatory action.</w:t>
      </w:r>
      <w:r w:rsidR="00481208" w:rsidRPr="009F79F8">
        <w:rPr>
          <w:rFonts w:cstheme="minorHAnsi"/>
        </w:rPr>
        <w:t xml:space="preserve">  </w:t>
      </w:r>
      <w:r w:rsidR="00B3790B" w:rsidRPr="009F79F8">
        <w:rPr>
          <w:rFonts w:cstheme="minorHAnsi"/>
        </w:rPr>
        <w:t>It is particularly worrying to learn that personal and sensitive information relating to customers’ vulnerability has been used</w:t>
      </w:r>
      <w:r w:rsidR="004D59C9" w:rsidRPr="009F79F8">
        <w:rPr>
          <w:rFonts w:cstheme="minorHAnsi"/>
        </w:rPr>
        <w:t xml:space="preserve"> instead b</w:t>
      </w:r>
      <w:r w:rsidR="00B3790B" w:rsidRPr="009F79F8">
        <w:rPr>
          <w:rFonts w:cstheme="minorHAnsi"/>
        </w:rPr>
        <w:t xml:space="preserve">y </w:t>
      </w:r>
      <w:r w:rsidR="004D59C9" w:rsidRPr="009F79F8">
        <w:rPr>
          <w:rFonts w:cstheme="minorHAnsi"/>
        </w:rPr>
        <w:t xml:space="preserve">some </w:t>
      </w:r>
      <w:r w:rsidR="00B3790B" w:rsidRPr="009F79F8">
        <w:rPr>
          <w:rFonts w:cstheme="minorHAnsi"/>
        </w:rPr>
        <w:t xml:space="preserve">operators for targeting them with incentives and bonuses. </w:t>
      </w:r>
    </w:p>
    <w:p w:rsidR="00481208" w:rsidRPr="009F79F8" w:rsidRDefault="00481208">
      <w:pPr>
        <w:rPr>
          <w:rFonts w:cstheme="minorHAnsi"/>
        </w:rPr>
      </w:pPr>
    </w:p>
    <w:p w:rsidR="00E12972" w:rsidRPr="009F79F8" w:rsidRDefault="00481208">
      <w:pPr>
        <w:rPr>
          <w:rFonts w:cstheme="minorHAnsi"/>
        </w:rPr>
      </w:pPr>
      <w:r w:rsidRPr="009F79F8">
        <w:rPr>
          <w:rFonts w:cstheme="minorHAnsi"/>
        </w:rPr>
        <w:t>The guidance states that licensees are expected to take ‘</w:t>
      </w:r>
      <w:r w:rsidRPr="009F79F8">
        <w:rPr>
          <w:rFonts w:cstheme="minorHAnsi"/>
          <w:i/>
        </w:rPr>
        <w:t>all reasonable steps’</w:t>
      </w:r>
      <w:r w:rsidRPr="009F79F8">
        <w:rPr>
          <w:rFonts w:cstheme="minorHAnsi"/>
        </w:rPr>
        <w:t xml:space="preserve"> to verify the information they receive and to conduct ongoing checks.  It would be helpful if the Commission c</w:t>
      </w:r>
      <w:r w:rsidR="00E12972" w:rsidRPr="009F79F8">
        <w:rPr>
          <w:rFonts w:cstheme="minorHAnsi"/>
        </w:rPr>
        <w:t xml:space="preserve">ould qualify this expectation. </w:t>
      </w:r>
    </w:p>
    <w:p w:rsidR="00460636" w:rsidRPr="009F79F8" w:rsidRDefault="00460636" w:rsidP="00EC7353">
      <w:pPr>
        <w:rPr>
          <w:rFonts w:cstheme="minorHAnsi"/>
          <w:i/>
        </w:rPr>
      </w:pPr>
    </w:p>
    <w:p w:rsidR="00615E9F" w:rsidRPr="009F79F8" w:rsidRDefault="00CF17B6">
      <w:pPr>
        <w:rPr>
          <w:rFonts w:cstheme="minorHAnsi"/>
        </w:rPr>
      </w:pPr>
      <w:r w:rsidRPr="009F79F8">
        <w:rPr>
          <w:rFonts w:cstheme="minorHAnsi"/>
          <w:b/>
        </w:rPr>
        <w:t>Do you agree that where a customer has previously been part of a multi-operator self-exclusion scheme (</w:t>
      </w:r>
      <w:r w:rsidR="009F79F8" w:rsidRPr="009F79F8">
        <w:rPr>
          <w:rFonts w:cstheme="minorHAnsi"/>
          <w:b/>
        </w:rPr>
        <w:t>e.g.</w:t>
      </w:r>
      <w:r w:rsidRPr="009F79F8">
        <w:rPr>
          <w:rFonts w:cstheme="minorHAnsi"/>
          <w:b/>
        </w:rPr>
        <w:t xml:space="preserve"> Gamstop or SENSE), they should be prohibited from HVC schemes?</w:t>
      </w:r>
    </w:p>
    <w:p w:rsidR="00304727" w:rsidRPr="009F79F8" w:rsidRDefault="00460636">
      <w:pPr>
        <w:rPr>
          <w:rFonts w:cstheme="minorHAnsi"/>
        </w:rPr>
      </w:pPr>
      <w:r w:rsidRPr="009F79F8">
        <w:rPr>
          <w:rFonts w:cstheme="minorHAnsi"/>
        </w:rPr>
        <w:t>Y</w:t>
      </w:r>
      <w:r w:rsidR="009438B9">
        <w:rPr>
          <w:rFonts w:cstheme="minorHAnsi"/>
        </w:rPr>
        <w:t>es</w:t>
      </w:r>
    </w:p>
    <w:p w:rsidR="004D59C9" w:rsidRPr="009F79F8" w:rsidRDefault="004D59C9">
      <w:pPr>
        <w:rPr>
          <w:rFonts w:cstheme="minorHAnsi"/>
        </w:rPr>
      </w:pPr>
    </w:p>
    <w:p w:rsidR="00CF17B6" w:rsidRPr="009F79F8" w:rsidRDefault="00CF17B6">
      <w:pPr>
        <w:rPr>
          <w:rFonts w:cstheme="minorHAnsi"/>
          <w:b/>
        </w:rPr>
      </w:pPr>
      <w:r w:rsidRPr="009F79F8">
        <w:rPr>
          <w:rFonts w:cstheme="minorHAnsi"/>
          <w:b/>
        </w:rPr>
        <w:t>Are there additional safeguards or good practice which should be included in the guidance relating to customer checks and the assessment and mitigation of risk? Yes/No</w:t>
      </w:r>
    </w:p>
    <w:p w:rsidR="004D59C9" w:rsidRPr="009F79F8" w:rsidRDefault="004D59C9" w:rsidP="004D59C9">
      <w:pPr>
        <w:rPr>
          <w:rFonts w:cstheme="minorHAnsi"/>
        </w:rPr>
      </w:pPr>
      <w:r w:rsidRPr="009F79F8">
        <w:rPr>
          <w:rFonts w:cstheme="minorHAnsi"/>
        </w:rPr>
        <w:t xml:space="preserve">We support the APPG’s view that </w:t>
      </w:r>
      <w:r w:rsidRPr="009F79F8">
        <w:rPr>
          <w:rFonts w:cstheme="minorHAnsi"/>
          <w:i/>
        </w:rPr>
        <w:t xml:space="preserve">‘gauging affordability cannot be left to operators, given the majority of their revenue comes from people who are losing more than they can afford.’  </w:t>
      </w:r>
      <w:r w:rsidRPr="009F79F8">
        <w:rPr>
          <w:rFonts w:cstheme="minorHAnsi"/>
        </w:rPr>
        <w:t>Instead, the Group recommends supporting initiatives being developed by banks e.g. gambling transaction blocks, and the implementation of a single sign-on (SSO) mechanism.  We share the Group’s opinion that these measures are likely to provide a better level of customer protection than the industry’s internal processes.</w:t>
      </w:r>
    </w:p>
    <w:p w:rsidR="00615E9F" w:rsidRPr="009F79F8" w:rsidRDefault="00615E9F">
      <w:pPr>
        <w:rPr>
          <w:rFonts w:cstheme="minorHAnsi"/>
        </w:rPr>
      </w:pPr>
    </w:p>
    <w:p w:rsidR="00CF17B6" w:rsidRPr="009F79F8" w:rsidRDefault="00CF17B6">
      <w:pPr>
        <w:rPr>
          <w:rFonts w:cstheme="minorHAnsi"/>
          <w:b/>
        </w:rPr>
      </w:pPr>
      <w:r w:rsidRPr="009F79F8">
        <w:rPr>
          <w:rFonts w:cstheme="minorHAnsi"/>
          <w:b/>
        </w:rPr>
        <w:t xml:space="preserve">Do you agree with the proposed guidance on oversight and accountability for HVC schemes? </w:t>
      </w:r>
    </w:p>
    <w:p w:rsidR="00615E9F" w:rsidRPr="009F79F8" w:rsidRDefault="009438B9">
      <w:pPr>
        <w:rPr>
          <w:rFonts w:cstheme="minorHAnsi"/>
          <w:b/>
        </w:rPr>
      </w:pPr>
      <w:r>
        <w:rPr>
          <w:rFonts w:cstheme="minorHAnsi"/>
        </w:rPr>
        <w:t>Yes</w:t>
      </w:r>
    </w:p>
    <w:p w:rsidR="00615E9F" w:rsidRPr="009F79F8" w:rsidRDefault="00615E9F">
      <w:pPr>
        <w:rPr>
          <w:rFonts w:cstheme="minorHAnsi"/>
          <w:b/>
        </w:rPr>
      </w:pPr>
    </w:p>
    <w:p w:rsidR="00B3790B" w:rsidRPr="009F79F8" w:rsidRDefault="00CF17B6">
      <w:pPr>
        <w:rPr>
          <w:rFonts w:cstheme="minorHAnsi"/>
          <w:b/>
        </w:rPr>
      </w:pPr>
      <w:r w:rsidRPr="009F79F8">
        <w:rPr>
          <w:rFonts w:cstheme="minorHAnsi"/>
          <w:b/>
        </w:rPr>
        <w:t>Do you agree with the proposed guidance on maintaining an audit trail for HVC schemes?</w:t>
      </w:r>
    </w:p>
    <w:p w:rsidR="00615E9F" w:rsidRPr="009F79F8" w:rsidRDefault="00B3790B">
      <w:pPr>
        <w:rPr>
          <w:rFonts w:cstheme="minorHAnsi"/>
        </w:rPr>
      </w:pPr>
      <w:r w:rsidRPr="009F79F8">
        <w:rPr>
          <w:rFonts w:cstheme="minorHAnsi"/>
        </w:rPr>
        <w:t xml:space="preserve">We agree with the </w:t>
      </w:r>
      <w:r w:rsidR="004D59C9" w:rsidRPr="009F79F8">
        <w:rPr>
          <w:rFonts w:cstheme="minorHAnsi"/>
        </w:rPr>
        <w:t>proposed guidance but</w:t>
      </w:r>
      <w:r w:rsidRPr="009F79F8">
        <w:rPr>
          <w:rFonts w:cstheme="minorHAnsi"/>
        </w:rPr>
        <w:t xml:space="preserve"> </w:t>
      </w:r>
      <w:r w:rsidR="000532FE">
        <w:rPr>
          <w:rFonts w:cstheme="minorHAnsi"/>
        </w:rPr>
        <w:t xml:space="preserve">would </w:t>
      </w:r>
      <w:r w:rsidR="004D59C9" w:rsidRPr="009F79F8">
        <w:rPr>
          <w:rFonts w:cstheme="minorHAnsi"/>
        </w:rPr>
        <w:t>like to</w:t>
      </w:r>
      <w:r w:rsidRPr="009F79F8">
        <w:rPr>
          <w:rFonts w:cstheme="minorHAnsi"/>
        </w:rPr>
        <w:t xml:space="preserve"> suggest that, given the importance of such evidence in the event of a future </w:t>
      </w:r>
      <w:r w:rsidR="00773EB2">
        <w:rPr>
          <w:rFonts w:cstheme="minorHAnsi"/>
        </w:rPr>
        <w:t xml:space="preserve">investigations, </w:t>
      </w:r>
      <w:r w:rsidRPr="009F79F8">
        <w:rPr>
          <w:rFonts w:cstheme="minorHAnsi"/>
        </w:rPr>
        <w:t xml:space="preserve">complaints procedures or legal action, paragraph 2.17 could be strengthened to read: </w:t>
      </w:r>
      <w:r w:rsidRPr="009F79F8">
        <w:rPr>
          <w:rFonts w:cstheme="minorHAnsi"/>
          <w:i/>
        </w:rPr>
        <w:t>‘A full audit trail must be maintained detailing the management of individual HVCs.’</w:t>
      </w:r>
    </w:p>
    <w:p w:rsidR="00615E9F" w:rsidRPr="009F79F8" w:rsidRDefault="00615E9F">
      <w:pPr>
        <w:rPr>
          <w:rFonts w:cstheme="minorHAnsi"/>
        </w:rPr>
      </w:pPr>
    </w:p>
    <w:p w:rsidR="00CF17B6" w:rsidRPr="009F79F8" w:rsidRDefault="00CF17B6">
      <w:pPr>
        <w:rPr>
          <w:rFonts w:cstheme="minorHAnsi"/>
          <w:b/>
        </w:rPr>
      </w:pPr>
      <w:r w:rsidRPr="009F79F8">
        <w:rPr>
          <w:rFonts w:cstheme="minorHAnsi"/>
          <w:b/>
        </w:rPr>
        <w:t>Do you agree with the proposed guidance on relationship management for HVC schemes?</w:t>
      </w:r>
    </w:p>
    <w:p w:rsidR="00034814" w:rsidRPr="009F79F8" w:rsidRDefault="00034814">
      <w:pPr>
        <w:rPr>
          <w:rFonts w:cstheme="minorHAnsi"/>
        </w:rPr>
      </w:pPr>
      <w:r w:rsidRPr="009F79F8">
        <w:rPr>
          <w:rFonts w:cstheme="minorHAnsi"/>
        </w:rPr>
        <w:t>Paragraph 2.20</w:t>
      </w:r>
      <w:r w:rsidR="00B3790B" w:rsidRPr="009F79F8">
        <w:rPr>
          <w:rFonts w:cstheme="minorHAnsi"/>
        </w:rPr>
        <w:t xml:space="preserve"> </w:t>
      </w:r>
      <w:r w:rsidRPr="009F79F8">
        <w:rPr>
          <w:rFonts w:cstheme="minorHAnsi"/>
        </w:rPr>
        <w:t>suggests that operators ‘</w:t>
      </w:r>
      <w:r w:rsidRPr="009F79F8">
        <w:rPr>
          <w:rFonts w:cstheme="minorHAnsi"/>
          <w:i/>
        </w:rPr>
        <w:t xml:space="preserve">should consider what additional steps are required’ </w:t>
      </w:r>
      <w:r w:rsidRPr="009F79F8">
        <w:rPr>
          <w:rFonts w:cstheme="minorHAnsi"/>
        </w:rPr>
        <w:t>to ensure effective HVC management by their staff and follows with some examples. In our view, each of these measures is critical</w:t>
      </w:r>
      <w:r w:rsidR="00FA3A87">
        <w:rPr>
          <w:rFonts w:cstheme="minorHAnsi"/>
        </w:rPr>
        <w:t xml:space="preserve"> i.e. should not be optional,</w:t>
      </w:r>
      <w:r w:rsidRPr="009F79F8">
        <w:rPr>
          <w:rFonts w:cstheme="minorHAnsi"/>
        </w:rPr>
        <w:t xml:space="preserve"> for improving the management of these relationships, if HVC schemes are to continue. As such, we recommend that this section is amended to require operators </w:t>
      </w:r>
      <w:r w:rsidR="00570B87">
        <w:rPr>
          <w:rFonts w:cstheme="minorHAnsi"/>
        </w:rPr>
        <w:t>to implement</w:t>
      </w:r>
      <w:r w:rsidRPr="009F79F8">
        <w:rPr>
          <w:rFonts w:cstheme="minorHAnsi"/>
        </w:rPr>
        <w:t xml:space="preserve"> </w:t>
      </w:r>
      <w:r w:rsidR="00570B87">
        <w:rPr>
          <w:rFonts w:cstheme="minorHAnsi"/>
        </w:rPr>
        <w:t>all of these measures.</w:t>
      </w:r>
    </w:p>
    <w:p w:rsidR="009B5D1F" w:rsidRPr="009F79F8" w:rsidRDefault="009B5D1F">
      <w:pPr>
        <w:rPr>
          <w:rFonts w:cstheme="minorHAnsi"/>
          <w:b/>
        </w:rPr>
      </w:pPr>
    </w:p>
    <w:p w:rsidR="00CF17B6" w:rsidRPr="009F79F8" w:rsidRDefault="00CF17B6">
      <w:pPr>
        <w:rPr>
          <w:rFonts w:cstheme="minorHAnsi"/>
          <w:b/>
        </w:rPr>
      </w:pPr>
      <w:r w:rsidRPr="009F79F8">
        <w:rPr>
          <w:rFonts w:cstheme="minorHAnsi"/>
          <w:b/>
        </w:rPr>
        <w:t xml:space="preserve">Do you agree with the proposed guidance on the use of incentives within HVC schemes? </w:t>
      </w:r>
    </w:p>
    <w:p w:rsidR="00B21B10" w:rsidRPr="009F79F8" w:rsidRDefault="00E72B4E">
      <w:pPr>
        <w:rPr>
          <w:rFonts w:cstheme="minorHAnsi"/>
        </w:rPr>
      </w:pPr>
      <w:r w:rsidRPr="009F79F8">
        <w:rPr>
          <w:rFonts w:cstheme="minorHAnsi"/>
        </w:rPr>
        <w:t>As above, we recommend that wherever the</w:t>
      </w:r>
      <w:r w:rsidR="004066CD" w:rsidRPr="009F79F8">
        <w:rPr>
          <w:rFonts w:cstheme="minorHAnsi"/>
        </w:rPr>
        <w:t xml:space="preserve"> guidance suggests</w:t>
      </w:r>
      <w:r w:rsidRPr="009F79F8">
        <w:rPr>
          <w:rFonts w:cstheme="minorHAnsi"/>
        </w:rPr>
        <w:t xml:space="preserve"> operators ‘should’ take</w:t>
      </w:r>
      <w:r w:rsidR="004066CD" w:rsidRPr="009F79F8">
        <w:rPr>
          <w:rFonts w:cstheme="minorHAnsi"/>
        </w:rPr>
        <w:t xml:space="preserve"> a specific action related to </w:t>
      </w:r>
      <w:r w:rsidRPr="009F79F8">
        <w:rPr>
          <w:rFonts w:cstheme="minorHAnsi"/>
        </w:rPr>
        <w:t xml:space="preserve">incentives, this is amended to read ‘must’.  The </w:t>
      </w:r>
      <w:r w:rsidR="004066CD" w:rsidRPr="009F79F8">
        <w:rPr>
          <w:rFonts w:cstheme="minorHAnsi"/>
        </w:rPr>
        <w:t>consequences</w:t>
      </w:r>
      <w:r w:rsidRPr="009F79F8">
        <w:rPr>
          <w:rFonts w:cstheme="minorHAnsi"/>
        </w:rPr>
        <w:t xml:space="preserve"> of operators not putti</w:t>
      </w:r>
      <w:r w:rsidR="004066CD" w:rsidRPr="009F79F8">
        <w:rPr>
          <w:rFonts w:cstheme="minorHAnsi"/>
        </w:rPr>
        <w:t xml:space="preserve">ng these measures into practice </w:t>
      </w:r>
      <w:r w:rsidRPr="009F79F8">
        <w:rPr>
          <w:rFonts w:cstheme="minorHAnsi"/>
        </w:rPr>
        <w:t>are too serious</w:t>
      </w:r>
      <w:r w:rsidR="00570B87">
        <w:rPr>
          <w:rFonts w:cstheme="minorHAnsi"/>
        </w:rPr>
        <w:t xml:space="preserve">, </w:t>
      </w:r>
      <w:r w:rsidR="00570B87" w:rsidRPr="00570B87">
        <w:rPr>
          <w:rFonts w:cstheme="minorHAnsi"/>
        </w:rPr>
        <w:t>and the potential impact on vulnerable customers too strong,</w:t>
      </w:r>
      <w:r w:rsidRPr="009F79F8">
        <w:rPr>
          <w:rFonts w:cstheme="minorHAnsi"/>
        </w:rPr>
        <w:t xml:space="preserve"> for th</w:t>
      </w:r>
      <w:r w:rsidR="004066CD" w:rsidRPr="009F79F8">
        <w:rPr>
          <w:rFonts w:cstheme="minorHAnsi"/>
        </w:rPr>
        <w:t xml:space="preserve">em not to be a regulatory requirement. </w:t>
      </w:r>
      <w:r w:rsidR="00570B87">
        <w:rPr>
          <w:rFonts w:cstheme="minorHAnsi"/>
        </w:rPr>
        <w:t>(</w:t>
      </w:r>
      <w:r w:rsidR="004066CD" w:rsidRPr="009F79F8">
        <w:rPr>
          <w:rFonts w:cstheme="minorHAnsi"/>
        </w:rPr>
        <w:t>See also o</w:t>
      </w:r>
      <w:r w:rsidR="00570B87">
        <w:rPr>
          <w:rFonts w:cstheme="minorHAnsi"/>
        </w:rPr>
        <w:t>ur response to Question 8)</w:t>
      </w:r>
      <w:r w:rsidR="004066CD" w:rsidRPr="009F79F8">
        <w:rPr>
          <w:rFonts w:cstheme="minorHAnsi"/>
        </w:rPr>
        <w:t>.</w:t>
      </w:r>
    </w:p>
    <w:sectPr w:rsidR="00B21B10" w:rsidRPr="009F79F8" w:rsidSect="009F177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5DFE" w:rsidRDefault="00A15DFE" w:rsidP="001E559C">
      <w:r>
        <w:separator/>
      </w:r>
    </w:p>
  </w:endnote>
  <w:endnote w:type="continuationSeparator" w:id="1">
    <w:p w:rsidR="00A15DFE" w:rsidRDefault="00A15DFE" w:rsidP="001E55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5DFE" w:rsidRDefault="00A15DFE" w:rsidP="001E559C">
      <w:r>
        <w:separator/>
      </w:r>
    </w:p>
  </w:footnote>
  <w:footnote w:type="continuationSeparator" w:id="1">
    <w:p w:rsidR="00A15DFE" w:rsidRDefault="00A15DFE" w:rsidP="001E559C">
      <w:r>
        <w:continuationSeparator/>
      </w:r>
    </w:p>
  </w:footnote>
  <w:footnote w:id="2">
    <w:p w:rsidR="00C008B8" w:rsidRDefault="00C008B8" w:rsidP="00C008B8">
      <w:pPr>
        <w:pStyle w:val="FootnoteText"/>
      </w:pPr>
      <w:r>
        <w:rPr>
          <w:rStyle w:val="FootnoteReference"/>
        </w:rPr>
        <w:footnoteRef/>
      </w:r>
      <w:r>
        <w:t xml:space="preserve"> Online Gambling Harm inquiry, Final Report</w:t>
      </w:r>
      <w:r w:rsidRPr="00460636">
        <w:t xml:space="preserve">, </w:t>
      </w:r>
      <w:r w:rsidR="00460636" w:rsidRPr="00460636">
        <w:t xml:space="preserve">Gambling Related Harm All Party Parliamentary Group, </w:t>
      </w:r>
      <w:r>
        <w:t>June 2020</w:t>
      </w:r>
    </w:p>
  </w:footnote>
  <w:footnote w:id="3">
    <w:p w:rsidR="00B21B10" w:rsidRPr="00C57970" w:rsidRDefault="00B21B10" w:rsidP="00C57970">
      <w:pPr>
        <w:rPr>
          <w:sz w:val="20"/>
          <w:szCs w:val="20"/>
        </w:rPr>
      </w:pPr>
      <w:r>
        <w:rPr>
          <w:rStyle w:val="FootnoteReference"/>
        </w:rPr>
        <w:footnoteRef/>
      </w:r>
      <w:r w:rsidRPr="00C57970">
        <w:rPr>
          <w:sz w:val="20"/>
          <w:szCs w:val="20"/>
        </w:rPr>
        <w:t xml:space="preserve"> </w:t>
      </w:r>
      <w:hyperlink r:id="rId1" w:history="1">
        <w:r w:rsidR="00C57970" w:rsidRPr="00C57970">
          <w:rPr>
            <w:rStyle w:val="Hyperlink"/>
            <w:sz w:val="20"/>
            <w:szCs w:val="20"/>
          </w:rPr>
          <w:t>https://www.theguardian.com/society/2020/jan/02/gambling-report-shows-industrys-reliance-on-loss-making-customers</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31EF2"/>
    <w:multiLevelType w:val="hybridMultilevel"/>
    <w:tmpl w:val="ACCC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rsids>
    <w:rsidRoot w:val="008618A7"/>
    <w:rsid w:val="00031C44"/>
    <w:rsid w:val="00034814"/>
    <w:rsid w:val="00050B45"/>
    <w:rsid w:val="000532FE"/>
    <w:rsid w:val="000A2583"/>
    <w:rsid w:val="000C001B"/>
    <w:rsid w:val="00133E21"/>
    <w:rsid w:val="00176058"/>
    <w:rsid w:val="0018140F"/>
    <w:rsid w:val="001D762C"/>
    <w:rsid w:val="001E559C"/>
    <w:rsid w:val="00206458"/>
    <w:rsid w:val="00275B20"/>
    <w:rsid w:val="00291274"/>
    <w:rsid w:val="0029157E"/>
    <w:rsid w:val="002B6BD0"/>
    <w:rsid w:val="002D1AA0"/>
    <w:rsid w:val="00304727"/>
    <w:rsid w:val="003105A0"/>
    <w:rsid w:val="003156B6"/>
    <w:rsid w:val="00322E32"/>
    <w:rsid w:val="00336C2D"/>
    <w:rsid w:val="0034415E"/>
    <w:rsid w:val="00353C85"/>
    <w:rsid w:val="003548F2"/>
    <w:rsid w:val="003908A5"/>
    <w:rsid w:val="003C3388"/>
    <w:rsid w:val="003E297B"/>
    <w:rsid w:val="004066CD"/>
    <w:rsid w:val="00407441"/>
    <w:rsid w:val="00411905"/>
    <w:rsid w:val="004404C2"/>
    <w:rsid w:val="0044762E"/>
    <w:rsid w:val="00460636"/>
    <w:rsid w:val="00481208"/>
    <w:rsid w:val="004A0AA8"/>
    <w:rsid w:val="004A28D9"/>
    <w:rsid w:val="004A3CC1"/>
    <w:rsid w:val="004A5F41"/>
    <w:rsid w:val="004B12CE"/>
    <w:rsid w:val="004C655B"/>
    <w:rsid w:val="004D0E13"/>
    <w:rsid w:val="004D305D"/>
    <w:rsid w:val="004D59C9"/>
    <w:rsid w:val="004F2151"/>
    <w:rsid w:val="00504A79"/>
    <w:rsid w:val="00510980"/>
    <w:rsid w:val="00512F3A"/>
    <w:rsid w:val="005347B6"/>
    <w:rsid w:val="005475A7"/>
    <w:rsid w:val="0055383B"/>
    <w:rsid w:val="00570B87"/>
    <w:rsid w:val="005A33B2"/>
    <w:rsid w:val="005B3205"/>
    <w:rsid w:val="005E0B96"/>
    <w:rsid w:val="005E728D"/>
    <w:rsid w:val="00600DD6"/>
    <w:rsid w:val="0061179E"/>
    <w:rsid w:val="00615E9F"/>
    <w:rsid w:val="0063633D"/>
    <w:rsid w:val="006E0828"/>
    <w:rsid w:val="006E44B6"/>
    <w:rsid w:val="0070522F"/>
    <w:rsid w:val="007427EA"/>
    <w:rsid w:val="00743770"/>
    <w:rsid w:val="00753262"/>
    <w:rsid w:val="00773EB2"/>
    <w:rsid w:val="007D5EB5"/>
    <w:rsid w:val="008007DE"/>
    <w:rsid w:val="00825917"/>
    <w:rsid w:val="00825B71"/>
    <w:rsid w:val="0083623D"/>
    <w:rsid w:val="0084272F"/>
    <w:rsid w:val="00845857"/>
    <w:rsid w:val="008471E7"/>
    <w:rsid w:val="00847F01"/>
    <w:rsid w:val="008618A7"/>
    <w:rsid w:val="00882540"/>
    <w:rsid w:val="00893D85"/>
    <w:rsid w:val="008D6FDA"/>
    <w:rsid w:val="00914A3A"/>
    <w:rsid w:val="009438B9"/>
    <w:rsid w:val="00970523"/>
    <w:rsid w:val="00970D57"/>
    <w:rsid w:val="00975060"/>
    <w:rsid w:val="00986D11"/>
    <w:rsid w:val="00987B51"/>
    <w:rsid w:val="009943D7"/>
    <w:rsid w:val="009B5D1F"/>
    <w:rsid w:val="009D2F21"/>
    <w:rsid w:val="009D4119"/>
    <w:rsid w:val="009F177C"/>
    <w:rsid w:val="009F564B"/>
    <w:rsid w:val="009F79F8"/>
    <w:rsid w:val="00A15DFE"/>
    <w:rsid w:val="00A2214C"/>
    <w:rsid w:val="00A60073"/>
    <w:rsid w:val="00A773C6"/>
    <w:rsid w:val="00A81977"/>
    <w:rsid w:val="00A848A8"/>
    <w:rsid w:val="00A87BCA"/>
    <w:rsid w:val="00AF21F3"/>
    <w:rsid w:val="00AF2954"/>
    <w:rsid w:val="00B21B10"/>
    <w:rsid w:val="00B3790B"/>
    <w:rsid w:val="00B47DF0"/>
    <w:rsid w:val="00B57259"/>
    <w:rsid w:val="00B7147E"/>
    <w:rsid w:val="00BA7B2D"/>
    <w:rsid w:val="00C008B8"/>
    <w:rsid w:val="00C035C9"/>
    <w:rsid w:val="00C07417"/>
    <w:rsid w:val="00C3131C"/>
    <w:rsid w:val="00C535CF"/>
    <w:rsid w:val="00C57970"/>
    <w:rsid w:val="00C82466"/>
    <w:rsid w:val="00C938D5"/>
    <w:rsid w:val="00CF17B6"/>
    <w:rsid w:val="00CF72B4"/>
    <w:rsid w:val="00D172E3"/>
    <w:rsid w:val="00D5467B"/>
    <w:rsid w:val="00D9726F"/>
    <w:rsid w:val="00DA25CF"/>
    <w:rsid w:val="00DD2A08"/>
    <w:rsid w:val="00E12972"/>
    <w:rsid w:val="00E355AC"/>
    <w:rsid w:val="00E374BF"/>
    <w:rsid w:val="00E545B5"/>
    <w:rsid w:val="00E65E4F"/>
    <w:rsid w:val="00E71584"/>
    <w:rsid w:val="00E72B4E"/>
    <w:rsid w:val="00EB2454"/>
    <w:rsid w:val="00EC7353"/>
    <w:rsid w:val="00EF4578"/>
    <w:rsid w:val="00F550DB"/>
    <w:rsid w:val="00FA3A87"/>
    <w:rsid w:val="00FC7D93"/>
    <w:rsid w:val="00FD73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7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E559C"/>
    <w:rPr>
      <w:sz w:val="20"/>
      <w:szCs w:val="20"/>
    </w:rPr>
  </w:style>
  <w:style w:type="character" w:customStyle="1" w:styleId="FootnoteTextChar">
    <w:name w:val="Footnote Text Char"/>
    <w:basedOn w:val="DefaultParagraphFont"/>
    <w:link w:val="FootnoteText"/>
    <w:uiPriority w:val="99"/>
    <w:semiHidden/>
    <w:rsid w:val="001E559C"/>
    <w:rPr>
      <w:sz w:val="20"/>
      <w:szCs w:val="20"/>
    </w:rPr>
  </w:style>
  <w:style w:type="character" w:styleId="FootnoteReference">
    <w:name w:val="footnote reference"/>
    <w:basedOn w:val="DefaultParagraphFont"/>
    <w:uiPriority w:val="99"/>
    <w:semiHidden/>
    <w:unhideWhenUsed/>
    <w:rsid w:val="001E559C"/>
    <w:rPr>
      <w:vertAlign w:val="superscript"/>
    </w:rPr>
  </w:style>
  <w:style w:type="character" w:styleId="Hyperlink">
    <w:name w:val="Hyperlink"/>
    <w:basedOn w:val="DefaultParagraphFont"/>
    <w:uiPriority w:val="99"/>
    <w:unhideWhenUsed/>
    <w:rsid w:val="004A3CC1"/>
    <w:rPr>
      <w:color w:val="0000FF" w:themeColor="hyperlink"/>
      <w:u w:val="single"/>
    </w:rPr>
  </w:style>
  <w:style w:type="paragraph" w:styleId="ListParagraph">
    <w:name w:val="List Paragraph"/>
    <w:basedOn w:val="Normal"/>
    <w:uiPriority w:val="34"/>
    <w:qFormat/>
    <w:rsid w:val="00510980"/>
    <w:pPr>
      <w:ind w:left="720"/>
      <w:contextualSpacing/>
    </w:pPr>
  </w:style>
  <w:style w:type="paragraph" w:customStyle="1" w:styleId="ReturnAddress">
    <w:name w:val="Return Address"/>
    <w:basedOn w:val="Normal"/>
    <w:rsid w:val="00353C85"/>
    <w:pPr>
      <w:keepLines/>
      <w:framePr w:w="4320" w:h="965" w:hSpace="187" w:vSpace="187" w:wrap="notBeside" w:vAnchor="page" w:hAnchor="margin" w:xAlign="right" w:y="966" w:anchorLock="1"/>
      <w:tabs>
        <w:tab w:val="left" w:pos="2160"/>
      </w:tabs>
      <w:spacing w:line="160" w:lineRule="atLeast"/>
    </w:pPr>
    <w:rPr>
      <w:rFonts w:ascii="Arial" w:eastAsia="Times New Roman" w:hAnsi="Arial" w:cs="Times New Roman"/>
      <w:sz w:val="1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qaa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qaad.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society/2020/jan/02/gambling-report-shows-industrys-reliance-on-loss-making-custom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6FFE2-1485-4BD3-B043-1BCAF0B6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2020-08-13T12:29:00Z</cp:lastPrinted>
  <dcterms:created xsi:type="dcterms:W3CDTF">2020-09-12T07:52:00Z</dcterms:created>
  <dcterms:modified xsi:type="dcterms:W3CDTF">2020-09-12T07:52:00Z</dcterms:modified>
</cp:coreProperties>
</file>