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11" w:rsidRDefault="00786D2B" w:rsidP="00704B37">
      <w:pPr>
        <w:spacing w:after="0" w:line="240" w:lineRule="auto"/>
        <w:rPr>
          <w:rFonts w:cstheme="minorHAnsi"/>
          <w:b/>
        </w:rPr>
      </w:pPr>
      <w:r>
        <w:rPr>
          <w:rFonts w:cstheme="minorHAnsi"/>
          <w:b/>
          <w:noProof/>
          <w:lang w:eastAsia="en-GB"/>
        </w:rPr>
        <w:pict>
          <v:rect id="1" o:spid="_x0000_s1026" style="position:absolute;margin-left:255.45pt;margin-top:-21.3pt;width:198.8pt;height:8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" strokeweight=".02mm">
            <v:fill opacity="0"/>
            <v:stroke joinstyle="round"/>
            <v:textbox>
              <w:txbxContent>
                <w:p w:rsidR="00143D67" w:rsidRDefault="00143D67" w:rsidP="00DC1398">
                  <w:pPr>
                    <w:pStyle w:val="ReturnAddress"/>
                    <w:rPr>
                      <w:color w:val="auto"/>
                    </w:rPr>
                  </w:pPr>
                  <w:r>
                    <w:rPr>
                      <w:color w:val="auto"/>
                    </w:rPr>
                    <w:t>Registered Charity No: 1059310</w:t>
                  </w:r>
                </w:p>
                <w:p w:rsidR="00143D67" w:rsidRDefault="00143D67" w:rsidP="00DC1398">
                  <w:pPr>
                    <w:pStyle w:val="ReturnAddress"/>
                    <w:rPr>
                      <w:color w:val="auto"/>
                    </w:rPr>
                  </w:pPr>
                  <w:r>
                    <w:rPr>
                      <w:color w:val="auto"/>
                    </w:rPr>
                    <w:t>A Company Limited by Guarantee Registration No 32655669</w:t>
                  </w:r>
                </w:p>
                <w:p w:rsidR="00143D67" w:rsidRDefault="00143D67" w:rsidP="00DC1398">
                  <w:pPr>
                    <w:pStyle w:val="ReturnAddress"/>
                    <w:rPr>
                      <w:color w:val="auto"/>
                    </w:rPr>
                  </w:pPr>
                </w:p>
                <w:p w:rsidR="00143D67" w:rsidRDefault="00143D67" w:rsidP="00DC1398">
                  <w:pPr>
                    <w:pStyle w:val="ReturnAddress"/>
                    <w:rPr>
                      <w:b/>
                      <w:bCs/>
                      <w:sz w:val="18"/>
                    </w:rPr>
                  </w:pPr>
                  <w:r>
                    <w:rPr>
                      <w:b/>
                      <w:bCs/>
                      <w:color w:val="auto"/>
                      <w:sz w:val="18"/>
                    </w:rPr>
                    <w:t>Director: Alison Mather</w:t>
                  </w:r>
                </w:p>
                <w:p w:rsidR="00143D67" w:rsidRDefault="00143D67" w:rsidP="00DC1398">
                  <w:pPr>
                    <w:pStyle w:val="ReturnAddress"/>
                    <w:rPr>
                      <w:b/>
                      <w:bCs/>
                      <w:sz w:val="18"/>
                    </w:rPr>
                  </w:pPr>
                  <w:r>
                    <w:rPr>
                      <w:b/>
                      <w:bCs/>
                      <w:color w:val="auto"/>
                      <w:sz w:val="18"/>
                    </w:rPr>
                    <w:t>Telephone: 0117 9246981</w:t>
                  </w:r>
                </w:p>
                <w:p w:rsidR="00143D67" w:rsidRDefault="00143D67" w:rsidP="00DC1398">
                  <w:pPr>
                    <w:pStyle w:val="ReturnAddress"/>
                  </w:pPr>
                  <w:r>
                    <w:rPr>
                      <w:b/>
                      <w:bCs/>
                      <w:color w:val="auto"/>
                      <w:sz w:val="18"/>
                    </w:rPr>
                    <w:t xml:space="preserve">E- mail: </w:t>
                  </w:r>
                  <w:hyperlink r:id="rId8" w:history="1">
                    <w:r w:rsidRPr="00F13EC8">
                      <w:rPr>
                        <w:rStyle w:val="Hyperlink"/>
                        <w:b/>
                        <w:bCs/>
                        <w:sz w:val="18"/>
                      </w:rPr>
                      <w:t>alison@qaad.org</w:t>
                    </w:r>
                  </w:hyperlink>
                </w:p>
                <w:p w:rsidR="00143D67" w:rsidRDefault="00143D67" w:rsidP="00DC1398">
                  <w:pPr>
                    <w:pStyle w:val="ReturnAddress"/>
                    <w:rPr>
                      <w:b/>
                      <w:bCs/>
                      <w:sz w:val="18"/>
                    </w:rPr>
                  </w:pPr>
                  <w:r>
                    <w:rPr>
                      <w:b/>
                      <w:bCs/>
                      <w:color w:val="auto"/>
                      <w:sz w:val="18"/>
                    </w:rPr>
                    <w:t>Website: www.qaad.org</w:t>
                  </w:r>
                </w:p>
              </w:txbxContent>
            </v:textbox>
            <w10:wrap type="square"/>
          </v:rect>
        </w:pict>
      </w:r>
      <w:r w:rsidR="00352B11">
        <w:rPr>
          <w:rFonts w:cstheme="minorHAnsi"/>
          <w:b/>
          <w:noProof/>
          <w:lang w:eastAsia="en-GB"/>
        </w:rPr>
        <w:drawing>
          <wp:anchor distT="0" distB="0" distL="114935" distR="114935" simplePos="0" relativeHeight="251659264" behindDoc="0" locked="0" layoutInCell="1" allowOverlap="1">
            <wp:simplePos x="0" y="0"/>
            <wp:positionH relativeFrom="column">
              <wp:posOffset>-227965</wp:posOffset>
            </wp:positionH>
            <wp:positionV relativeFrom="paragraph">
              <wp:posOffset>-286385</wp:posOffset>
            </wp:positionV>
            <wp:extent cx="1849120" cy="922020"/>
            <wp:effectExtent l="19050" t="0" r="0" b="0"/>
            <wp:wrapTopAndBottom/>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cstate="print"/>
                    <a:stretch>
                      <a:fillRect/>
                    </a:stretch>
                  </pic:blipFill>
                  <pic:spPr bwMode="auto">
                    <a:xfrm>
                      <a:off x="0" y="0"/>
                      <a:ext cx="1849120" cy="922020"/>
                    </a:xfrm>
                    <a:prstGeom prst="rect">
                      <a:avLst/>
                    </a:prstGeom>
                  </pic:spPr>
                </pic:pic>
              </a:graphicData>
            </a:graphic>
          </wp:anchor>
        </w:drawing>
      </w:r>
    </w:p>
    <w:p w:rsidR="00352B11" w:rsidRDefault="00352B11" w:rsidP="00704B37">
      <w:pPr>
        <w:spacing w:after="0" w:line="240" w:lineRule="auto"/>
        <w:rPr>
          <w:rFonts w:cstheme="minorHAnsi"/>
          <w:b/>
        </w:rPr>
      </w:pPr>
    </w:p>
    <w:p w:rsidR="00352B11" w:rsidRDefault="00352B11" w:rsidP="00704B37">
      <w:pPr>
        <w:spacing w:after="0" w:line="240" w:lineRule="auto"/>
        <w:rPr>
          <w:rFonts w:cstheme="minorHAnsi"/>
          <w:b/>
        </w:rPr>
      </w:pPr>
    </w:p>
    <w:p w:rsidR="00352B11" w:rsidRDefault="00033BCF" w:rsidP="00704B37">
      <w:pPr>
        <w:spacing w:after="0" w:line="240" w:lineRule="auto"/>
        <w:rPr>
          <w:rFonts w:cstheme="minorHAnsi"/>
          <w:b/>
        </w:rPr>
      </w:pPr>
      <w:r>
        <w:rPr>
          <w:rFonts w:cstheme="minorHAnsi"/>
          <w:b/>
        </w:rPr>
        <w:t>February 2019</w:t>
      </w:r>
    </w:p>
    <w:p w:rsidR="00352B11" w:rsidRDefault="00352B11" w:rsidP="00704B37">
      <w:pPr>
        <w:spacing w:after="0" w:line="240" w:lineRule="auto"/>
        <w:rPr>
          <w:rFonts w:cstheme="minorHAnsi"/>
          <w:b/>
        </w:rPr>
      </w:pPr>
    </w:p>
    <w:p w:rsidR="00352B11" w:rsidRDefault="00352B11" w:rsidP="00704B37">
      <w:pPr>
        <w:spacing w:after="0" w:line="240" w:lineRule="auto"/>
        <w:rPr>
          <w:rFonts w:cstheme="minorHAnsi"/>
          <w:b/>
        </w:rPr>
      </w:pPr>
    </w:p>
    <w:p w:rsidR="00352B11" w:rsidRPr="00055145" w:rsidRDefault="003B5CD1" w:rsidP="00033BCF">
      <w:pPr>
        <w:spacing w:after="0" w:line="240" w:lineRule="auto"/>
        <w:jc w:val="center"/>
        <w:rPr>
          <w:rFonts w:cstheme="minorHAnsi"/>
          <w:b/>
          <w:sz w:val="24"/>
          <w:szCs w:val="24"/>
          <w:u w:val="single"/>
        </w:rPr>
      </w:pPr>
      <w:r>
        <w:rPr>
          <w:rFonts w:cstheme="minorHAnsi"/>
          <w:b/>
          <w:sz w:val="24"/>
          <w:szCs w:val="24"/>
          <w:u w:val="single"/>
        </w:rPr>
        <w:t xml:space="preserve">QAAD RESPONSE FOR THE </w:t>
      </w:r>
      <w:r w:rsidR="00033BCF" w:rsidRPr="00055145">
        <w:rPr>
          <w:rFonts w:cstheme="minorHAnsi"/>
          <w:b/>
          <w:sz w:val="24"/>
          <w:szCs w:val="24"/>
          <w:u w:val="single"/>
        </w:rPr>
        <w:t xml:space="preserve">RGSB </w:t>
      </w:r>
      <w:r>
        <w:rPr>
          <w:rFonts w:cstheme="minorHAnsi"/>
          <w:b/>
          <w:sz w:val="24"/>
          <w:szCs w:val="24"/>
          <w:u w:val="single"/>
        </w:rPr>
        <w:t xml:space="preserve">YEAR 3 STRATEGY </w:t>
      </w:r>
      <w:r w:rsidR="00AE4754">
        <w:rPr>
          <w:rFonts w:cstheme="minorHAnsi"/>
          <w:b/>
          <w:sz w:val="24"/>
          <w:szCs w:val="24"/>
          <w:u w:val="single"/>
        </w:rPr>
        <w:t>PROGRESS</w:t>
      </w:r>
      <w:r w:rsidR="00391792">
        <w:rPr>
          <w:rFonts w:cstheme="minorHAnsi"/>
          <w:b/>
          <w:sz w:val="24"/>
          <w:szCs w:val="24"/>
          <w:u w:val="single"/>
        </w:rPr>
        <w:t xml:space="preserve"> REPORT</w:t>
      </w:r>
      <w:r w:rsidR="00AE4754">
        <w:rPr>
          <w:rFonts w:cstheme="minorHAnsi"/>
          <w:b/>
          <w:sz w:val="24"/>
          <w:szCs w:val="24"/>
          <w:u w:val="single"/>
        </w:rPr>
        <w:t xml:space="preserve">  </w:t>
      </w:r>
    </w:p>
    <w:p w:rsidR="00362085" w:rsidRDefault="00362085" w:rsidP="00704B37">
      <w:pPr>
        <w:spacing w:after="0" w:line="240" w:lineRule="auto"/>
        <w:jc w:val="both"/>
        <w:rPr>
          <w:rFonts w:eastAsia="ArialMT" w:cstheme="minorHAnsi"/>
        </w:rPr>
      </w:pPr>
    </w:p>
    <w:p w:rsidR="00E676DE" w:rsidRDefault="00E676DE" w:rsidP="00146D7C">
      <w:pPr>
        <w:pStyle w:val="Default"/>
        <w:jc w:val="both"/>
        <w:rPr>
          <w:rFonts w:asciiTheme="minorHAnsi" w:hAnsiTheme="minorHAnsi" w:cstheme="minorHAnsi"/>
          <w:sz w:val="22"/>
          <w:szCs w:val="22"/>
        </w:rPr>
      </w:pPr>
      <w:r>
        <w:rPr>
          <w:rFonts w:asciiTheme="minorHAnsi" w:hAnsiTheme="minorHAnsi" w:cstheme="minorHAnsi"/>
          <w:sz w:val="22"/>
          <w:szCs w:val="22"/>
        </w:rPr>
        <w:t>We welcome much of the progress that has been made during Year 3 of the Strategy.  We have some concerns, however, which we</w:t>
      </w:r>
      <w:r w:rsidR="00AE4754">
        <w:rPr>
          <w:rFonts w:asciiTheme="minorHAnsi" w:hAnsiTheme="minorHAnsi" w:cstheme="minorHAnsi"/>
          <w:sz w:val="22"/>
          <w:szCs w:val="22"/>
        </w:rPr>
        <w:t xml:space="preserve"> detail below with reference to the relevant</w:t>
      </w:r>
      <w:r>
        <w:rPr>
          <w:rFonts w:asciiTheme="minorHAnsi" w:hAnsiTheme="minorHAnsi" w:cstheme="minorHAnsi"/>
          <w:sz w:val="22"/>
          <w:szCs w:val="22"/>
        </w:rPr>
        <w:t xml:space="preserve"> Priority Areas.</w:t>
      </w:r>
      <w:r w:rsidR="00AE4754">
        <w:rPr>
          <w:rFonts w:asciiTheme="minorHAnsi" w:hAnsiTheme="minorHAnsi" w:cstheme="minorHAnsi"/>
          <w:sz w:val="22"/>
          <w:szCs w:val="22"/>
        </w:rPr>
        <w:t xml:space="preserve">  Given that this is the final year of the Strategy, we have not included specific recommendations for future action.</w:t>
      </w:r>
    </w:p>
    <w:p w:rsidR="00E676DE" w:rsidRDefault="00E676DE" w:rsidP="00E676DE">
      <w:pPr>
        <w:pStyle w:val="Default"/>
        <w:rPr>
          <w:rFonts w:asciiTheme="minorHAnsi" w:hAnsiTheme="minorHAnsi" w:cstheme="minorHAnsi"/>
          <w:sz w:val="22"/>
          <w:szCs w:val="22"/>
        </w:rPr>
      </w:pPr>
    </w:p>
    <w:p w:rsidR="00E676DE" w:rsidRPr="00E676DE" w:rsidRDefault="000B3C1E" w:rsidP="000B3C1E">
      <w:pPr>
        <w:pStyle w:val="Default"/>
        <w:numPr>
          <w:ilvl w:val="0"/>
          <w:numId w:val="10"/>
        </w:numPr>
        <w:ind w:left="284" w:hanging="284"/>
        <w:rPr>
          <w:rFonts w:asciiTheme="minorHAnsi" w:hAnsiTheme="minorHAnsi" w:cstheme="minorHAnsi"/>
          <w:b/>
          <w:sz w:val="22"/>
          <w:szCs w:val="22"/>
        </w:rPr>
      </w:pPr>
      <w:r w:rsidRPr="00E676DE">
        <w:rPr>
          <w:rFonts w:asciiTheme="minorHAnsi" w:hAnsiTheme="minorHAnsi" w:cstheme="minorHAnsi"/>
          <w:b/>
          <w:sz w:val="22"/>
          <w:szCs w:val="22"/>
        </w:rPr>
        <w:t>OVERALL PROGRESS</w:t>
      </w:r>
    </w:p>
    <w:p w:rsidR="008206AB" w:rsidRDefault="00E676DE" w:rsidP="00146D7C">
      <w:pPr>
        <w:pStyle w:val="Default"/>
        <w:jc w:val="both"/>
        <w:rPr>
          <w:rFonts w:asciiTheme="minorHAnsi" w:hAnsiTheme="minorHAnsi" w:cstheme="minorHAnsi"/>
          <w:sz w:val="22"/>
          <w:szCs w:val="22"/>
        </w:rPr>
      </w:pPr>
      <w:r w:rsidRPr="00071CC7">
        <w:rPr>
          <w:rFonts w:asciiTheme="minorHAnsi" w:hAnsiTheme="minorHAnsi" w:cstheme="minorHAnsi"/>
          <w:sz w:val="22"/>
          <w:szCs w:val="22"/>
        </w:rPr>
        <w:t xml:space="preserve">The </w:t>
      </w:r>
      <w:r w:rsidR="00071CC7" w:rsidRPr="00071CC7">
        <w:rPr>
          <w:rFonts w:asciiTheme="minorHAnsi" w:hAnsiTheme="minorHAnsi" w:cstheme="minorHAnsi"/>
          <w:sz w:val="22"/>
          <w:szCs w:val="22"/>
        </w:rPr>
        <w:t>mid-term (Year 3) progress r</w:t>
      </w:r>
      <w:r w:rsidR="008206AB" w:rsidRPr="00071CC7">
        <w:rPr>
          <w:rFonts w:asciiTheme="minorHAnsi" w:hAnsiTheme="minorHAnsi" w:cstheme="minorHAnsi"/>
          <w:sz w:val="22"/>
          <w:szCs w:val="22"/>
        </w:rPr>
        <w:t>eport</w:t>
      </w:r>
      <w:r w:rsidR="00B473F0">
        <w:rPr>
          <w:rFonts w:asciiTheme="minorHAnsi" w:hAnsiTheme="minorHAnsi" w:cstheme="minorHAnsi"/>
          <w:sz w:val="22"/>
          <w:szCs w:val="22"/>
        </w:rPr>
        <w:t xml:space="preserve"> </w:t>
      </w:r>
      <w:r w:rsidR="00071CC7">
        <w:rPr>
          <w:rFonts w:asciiTheme="minorHAnsi" w:hAnsiTheme="minorHAnsi" w:cstheme="minorHAnsi"/>
          <w:sz w:val="22"/>
          <w:szCs w:val="22"/>
        </w:rPr>
        <w:t>confirmed</w:t>
      </w:r>
      <w:r w:rsidR="008206AB">
        <w:rPr>
          <w:rFonts w:asciiTheme="minorHAnsi" w:hAnsiTheme="minorHAnsi" w:cstheme="minorHAnsi"/>
          <w:sz w:val="22"/>
          <w:szCs w:val="22"/>
        </w:rPr>
        <w:t xml:space="preserve"> examples of </w:t>
      </w:r>
      <w:r w:rsidR="004605B1" w:rsidRPr="008206AB">
        <w:rPr>
          <w:rFonts w:asciiTheme="minorHAnsi" w:hAnsiTheme="minorHAnsi" w:cstheme="minorHAnsi"/>
          <w:sz w:val="22"/>
          <w:szCs w:val="22"/>
        </w:rPr>
        <w:t xml:space="preserve">some encouraging </w:t>
      </w:r>
      <w:r w:rsidRPr="008206AB">
        <w:rPr>
          <w:rFonts w:asciiTheme="minorHAnsi" w:hAnsiTheme="minorHAnsi" w:cstheme="minorHAnsi"/>
          <w:sz w:val="22"/>
          <w:szCs w:val="22"/>
        </w:rPr>
        <w:t>progress</w:t>
      </w:r>
      <w:r w:rsidR="008206AB" w:rsidRPr="008206AB">
        <w:rPr>
          <w:rFonts w:asciiTheme="minorHAnsi" w:hAnsiTheme="minorHAnsi" w:cstheme="minorHAnsi"/>
          <w:sz w:val="22"/>
          <w:szCs w:val="22"/>
        </w:rPr>
        <w:t xml:space="preserve">. </w:t>
      </w:r>
      <w:r w:rsidR="00AB2A3E">
        <w:rPr>
          <w:rFonts w:asciiTheme="minorHAnsi" w:hAnsiTheme="minorHAnsi" w:cstheme="minorHAnsi"/>
          <w:sz w:val="22"/>
          <w:szCs w:val="22"/>
        </w:rPr>
        <w:t xml:space="preserve">For example, </w:t>
      </w:r>
      <w:r w:rsidR="00B473F0">
        <w:rPr>
          <w:rFonts w:asciiTheme="minorHAnsi" w:hAnsiTheme="minorHAnsi" w:cstheme="minorHAnsi"/>
          <w:sz w:val="22"/>
          <w:szCs w:val="22"/>
        </w:rPr>
        <w:t xml:space="preserve">growing recognition of gambling addiction as a public health issue, </w:t>
      </w:r>
      <w:r w:rsidR="00AB2A3E">
        <w:rPr>
          <w:rFonts w:asciiTheme="minorHAnsi" w:hAnsiTheme="minorHAnsi" w:cstheme="minorHAnsi"/>
          <w:sz w:val="22"/>
          <w:szCs w:val="22"/>
        </w:rPr>
        <w:t>t</w:t>
      </w:r>
      <w:r w:rsidR="008206AB" w:rsidRPr="008206AB">
        <w:rPr>
          <w:rFonts w:asciiTheme="minorHAnsi" w:hAnsiTheme="minorHAnsi" w:cstheme="minorHAnsi"/>
          <w:sz w:val="22"/>
          <w:szCs w:val="22"/>
        </w:rPr>
        <w:t>he publication of the framework for measuring gambling-related harms</w:t>
      </w:r>
      <w:r w:rsidR="00B473F0">
        <w:rPr>
          <w:rFonts w:asciiTheme="minorHAnsi" w:hAnsiTheme="minorHAnsi" w:cstheme="minorHAnsi"/>
          <w:sz w:val="22"/>
          <w:szCs w:val="22"/>
        </w:rPr>
        <w:t xml:space="preserve">, </w:t>
      </w:r>
      <w:r w:rsidR="008206AB">
        <w:rPr>
          <w:rFonts w:asciiTheme="minorHAnsi" w:hAnsiTheme="minorHAnsi" w:cstheme="minorHAnsi"/>
          <w:sz w:val="22"/>
          <w:szCs w:val="22"/>
        </w:rPr>
        <w:t xml:space="preserve">and the recent announcement that GambleAware has commissioned research into gambling-related suicide are all to be welcomed. We </w:t>
      </w:r>
      <w:r w:rsidR="00AB2A3E">
        <w:rPr>
          <w:rFonts w:asciiTheme="minorHAnsi" w:hAnsiTheme="minorHAnsi" w:cstheme="minorHAnsi"/>
          <w:sz w:val="22"/>
          <w:szCs w:val="22"/>
        </w:rPr>
        <w:t>have</w:t>
      </w:r>
      <w:r w:rsidR="008206AB">
        <w:rPr>
          <w:rFonts w:asciiTheme="minorHAnsi" w:hAnsiTheme="minorHAnsi" w:cstheme="minorHAnsi"/>
          <w:sz w:val="22"/>
          <w:szCs w:val="22"/>
        </w:rPr>
        <w:t xml:space="preserve"> also</w:t>
      </w:r>
      <w:r w:rsidR="00B473F0">
        <w:rPr>
          <w:rFonts w:asciiTheme="minorHAnsi" w:hAnsiTheme="minorHAnsi" w:cstheme="minorHAnsi"/>
          <w:sz w:val="22"/>
          <w:szCs w:val="22"/>
        </w:rPr>
        <w:t xml:space="preserve"> </w:t>
      </w:r>
      <w:r w:rsidR="00AB2A3E">
        <w:rPr>
          <w:rFonts w:asciiTheme="minorHAnsi" w:hAnsiTheme="minorHAnsi" w:cstheme="minorHAnsi"/>
          <w:sz w:val="22"/>
          <w:szCs w:val="22"/>
        </w:rPr>
        <w:t xml:space="preserve">been </w:t>
      </w:r>
      <w:r w:rsidR="008206AB">
        <w:rPr>
          <w:rFonts w:asciiTheme="minorHAnsi" w:hAnsiTheme="minorHAnsi" w:cstheme="minorHAnsi"/>
          <w:sz w:val="22"/>
          <w:szCs w:val="22"/>
        </w:rPr>
        <w:t xml:space="preserve">encouraged </w:t>
      </w:r>
      <w:r w:rsidR="00AB2A3E">
        <w:rPr>
          <w:rFonts w:asciiTheme="minorHAnsi" w:hAnsiTheme="minorHAnsi" w:cstheme="minorHAnsi"/>
          <w:sz w:val="22"/>
          <w:szCs w:val="22"/>
        </w:rPr>
        <w:t>to see</w:t>
      </w:r>
      <w:r w:rsidR="008206AB">
        <w:rPr>
          <w:rFonts w:asciiTheme="minorHAnsi" w:hAnsiTheme="minorHAnsi" w:cstheme="minorHAnsi"/>
          <w:sz w:val="22"/>
          <w:szCs w:val="22"/>
        </w:rPr>
        <w:t xml:space="preserve"> pan-industry collaboration events </w:t>
      </w:r>
      <w:r w:rsidR="00AB2A3E">
        <w:rPr>
          <w:rFonts w:asciiTheme="minorHAnsi" w:hAnsiTheme="minorHAnsi" w:cstheme="minorHAnsi"/>
          <w:sz w:val="22"/>
          <w:szCs w:val="22"/>
        </w:rPr>
        <w:t xml:space="preserve">being </w:t>
      </w:r>
      <w:r w:rsidR="008206AB">
        <w:rPr>
          <w:rFonts w:asciiTheme="minorHAnsi" w:hAnsiTheme="minorHAnsi" w:cstheme="minorHAnsi"/>
          <w:sz w:val="22"/>
          <w:szCs w:val="22"/>
        </w:rPr>
        <w:t>held over the past year</w:t>
      </w:r>
      <w:r w:rsidR="00CF4C13">
        <w:rPr>
          <w:rFonts w:asciiTheme="minorHAnsi" w:hAnsiTheme="minorHAnsi" w:cstheme="minorHAnsi"/>
          <w:sz w:val="22"/>
          <w:szCs w:val="22"/>
        </w:rPr>
        <w:t>;</w:t>
      </w:r>
      <w:r w:rsidR="008206AB">
        <w:rPr>
          <w:rFonts w:asciiTheme="minorHAnsi" w:hAnsiTheme="minorHAnsi" w:cstheme="minorHAnsi"/>
          <w:sz w:val="22"/>
          <w:szCs w:val="22"/>
        </w:rPr>
        <w:t xml:space="preserve"> the commissioning of the e-learning programme for GPs and other </w:t>
      </w:r>
      <w:r w:rsidR="00CF4C13">
        <w:rPr>
          <w:rFonts w:asciiTheme="minorHAnsi" w:hAnsiTheme="minorHAnsi" w:cstheme="minorHAnsi"/>
          <w:sz w:val="22"/>
          <w:szCs w:val="22"/>
        </w:rPr>
        <w:t xml:space="preserve">health </w:t>
      </w:r>
      <w:r w:rsidR="008206AB">
        <w:rPr>
          <w:rFonts w:asciiTheme="minorHAnsi" w:hAnsiTheme="minorHAnsi" w:cstheme="minorHAnsi"/>
          <w:sz w:val="22"/>
          <w:szCs w:val="22"/>
        </w:rPr>
        <w:t>professionals</w:t>
      </w:r>
      <w:r w:rsidR="00CF4C13">
        <w:rPr>
          <w:rFonts w:asciiTheme="minorHAnsi" w:hAnsiTheme="minorHAnsi" w:cstheme="minorHAnsi"/>
          <w:sz w:val="22"/>
          <w:szCs w:val="22"/>
        </w:rPr>
        <w:t>;</w:t>
      </w:r>
      <w:r w:rsidR="00B552A3">
        <w:rPr>
          <w:rFonts w:asciiTheme="minorHAnsi" w:hAnsiTheme="minorHAnsi" w:cstheme="minorHAnsi"/>
          <w:sz w:val="22"/>
          <w:szCs w:val="22"/>
        </w:rPr>
        <w:t xml:space="preserve"> the </w:t>
      </w:r>
      <w:r w:rsidR="008206AB">
        <w:rPr>
          <w:rFonts w:asciiTheme="minorHAnsi" w:hAnsiTheme="minorHAnsi" w:cstheme="minorHAnsi"/>
          <w:sz w:val="22"/>
          <w:szCs w:val="22"/>
        </w:rPr>
        <w:t>commencement of the systematic review of effective treatment for gambling</w:t>
      </w:r>
      <w:r w:rsidR="00CF4C13">
        <w:rPr>
          <w:rFonts w:asciiTheme="minorHAnsi" w:hAnsiTheme="minorHAnsi" w:cstheme="minorHAnsi"/>
          <w:sz w:val="22"/>
          <w:szCs w:val="22"/>
        </w:rPr>
        <w:t>;</w:t>
      </w:r>
      <w:r w:rsidR="008206AB">
        <w:rPr>
          <w:rFonts w:asciiTheme="minorHAnsi" w:hAnsiTheme="minorHAnsi" w:cstheme="minorHAnsi"/>
          <w:sz w:val="22"/>
          <w:szCs w:val="22"/>
        </w:rPr>
        <w:t xml:space="preserve"> and the funding of a national youth problem gambling initiative in Scotland. </w:t>
      </w:r>
    </w:p>
    <w:p w:rsidR="008206AB" w:rsidRDefault="008206AB" w:rsidP="00146D7C">
      <w:pPr>
        <w:pStyle w:val="Default"/>
        <w:jc w:val="both"/>
        <w:rPr>
          <w:rFonts w:asciiTheme="minorHAnsi" w:hAnsiTheme="minorHAnsi" w:cstheme="minorHAnsi"/>
          <w:i/>
          <w:sz w:val="22"/>
          <w:szCs w:val="22"/>
        </w:rPr>
      </w:pPr>
    </w:p>
    <w:p w:rsidR="00BE042A" w:rsidRDefault="00E676DE" w:rsidP="00146D7C">
      <w:pPr>
        <w:pStyle w:val="Default"/>
        <w:jc w:val="both"/>
        <w:rPr>
          <w:rFonts w:asciiTheme="minorHAnsi" w:hAnsiTheme="minorHAnsi" w:cstheme="minorHAnsi"/>
          <w:sz w:val="22"/>
          <w:szCs w:val="22"/>
        </w:rPr>
      </w:pPr>
      <w:r>
        <w:rPr>
          <w:rFonts w:asciiTheme="minorHAnsi" w:hAnsiTheme="minorHAnsi" w:cstheme="minorHAnsi"/>
          <w:sz w:val="22"/>
          <w:szCs w:val="22"/>
        </w:rPr>
        <w:t>Howe</w:t>
      </w:r>
      <w:r w:rsidR="004605B1">
        <w:rPr>
          <w:rFonts w:asciiTheme="minorHAnsi" w:hAnsiTheme="minorHAnsi" w:cstheme="minorHAnsi"/>
          <w:sz w:val="22"/>
          <w:szCs w:val="22"/>
        </w:rPr>
        <w:t xml:space="preserve">ver, </w:t>
      </w:r>
      <w:r w:rsidR="00055145">
        <w:rPr>
          <w:rFonts w:asciiTheme="minorHAnsi" w:hAnsiTheme="minorHAnsi" w:cstheme="minorHAnsi"/>
          <w:sz w:val="22"/>
          <w:szCs w:val="22"/>
        </w:rPr>
        <w:t>overall progress</w:t>
      </w:r>
      <w:r w:rsidR="00362977">
        <w:rPr>
          <w:rFonts w:asciiTheme="minorHAnsi" w:hAnsiTheme="minorHAnsi" w:cstheme="minorHAnsi"/>
          <w:sz w:val="22"/>
          <w:szCs w:val="22"/>
        </w:rPr>
        <w:t xml:space="preserve"> </w:t>
      </w:r>
      <w:r w:rsidR="00055145">
        <w:rPr>
          <w:rFonts w:asciiTheme="minorHAnsi" w:hAnsiTheme="minorHAnsi" w:cstheme="minorHAnsi"/>
          <w:sz w:val="22"/>
          <w:szCs w:val="22"/>
        </w:rPr>
        <w:t>can be viewed</w:t>
      </w:r>
      <w:r>
        <w:rPr>
          <w:rFonts w:asciiTheme="minorHAnsi" w:hAnsiTheme="minorHAnsi" w:cstheme="minorHAnsi"/>
          <w:sz w:val="22"/>
          <w:szCs w:val="22"/>
        </w:rPr>
        <w:t xml:space="preserve">, at best, </w:t>
      </w:r>
      <w:r w:rsidR="00055145">
        <w:rPr>
          <w:rFonts w:asciiTheme="minorHAnsi" w:hAnsiTheme="minorHAnsi" w:cstheme="minorHAnsi"/>
          <w:sz w:val="22"/>
          <w:szCs w:val="22"/>
        </w:rPr>
        <w:t xml:space="preserve">as </w:t>
      </w:r>
      <w:r>
        <w:rPr>
          <w:rFonts w:asciiTheme="minorHAnsi" w:hAnsiTheme="minorHAnsi" w:cstheme="minorHAnsi"/>
          <w:sz w:val="22"/>
          <w:szCs w:val="22"/>
        </w:rPr>
        <w:t xml:space="preserve">very disappointing, with </w:t>
      </w:r>
      <w:r w:rsidR="00C06C8E">
        <w:rPr>
          <w:rFonts w:asciiTheme="minorHAnsi" w:hAnsiTheme="minorHAnsi" w:cstheme="minorHAnsi"/>
          <w:sz w:val="22"/>
          <w:szCs w:val="22"/>
        </w:rPr>
        <w:t>eight</w:t>
      </w:r>
      <w:r w:rsidR="00055145">
        <w:rPr>
          <w:rFonts w:asciiTheme="minorHAnsi" w:hAnsiTheme="minorHAnsi" w:cstheme="minorHAnsi"/>
          <w:sz w:val="22"/>
          <w:szCs w:val="22"/>
        </w:rPr>
        <w:t xml:space="preserve"> of </w:t>
      </w:r>
      <w:r>
        <w:rPr>
          <w:rFonts w:asciiTheme="minorHAnsi" w:hAnsiTheme="minorHAnsi" w:cstheme="minorHAnsi"/>
          <w:sz w:val="22"/>
          <w:szCs w:val="22"/>
        </w:rPr>
        <w:t>the 12 Priority Areas remaining at</w:t>
      </w:r>
      <w:r w:rsidR="00055145">
        <w:rPr>
          <w:rFonts w:asciiTheme="minorHAnsi" w:hAnsiTheme="minorHAnsi" w:cstheme="minorHAnsi"/>
          <w:sz w:val="22"/>
          <w:szCs w:val="22"/>
        </w:rPr>
        <w:t xml:space="preserve"> (</w:t>
      </w:r>
      <w:r>
        <w:rPr>
          <w:rFonts w:asciiTheme="minorHAnsi" w:hAnsiTheme="minorHAnsi" w:cstheme="minorHAnsi"/>
          <w:sz w:val="22"/>
          <w:szCs w:val="22"/>
        </w:rPr>
        <w:t>or below</w:t>
      </w:r>
      <w:r w:rsidR="00055145">
        <w:rPr>
          <w:rFonts w:asciiTheme="minorHAnsi" w:hAnsiTheme="minorHAnsi" w:cstheme="minorHAnsi"/>
          <w:sz w:val="22"/>
          <w:szCs w:val="22"/>
        </w:rPr>
        <w:t>)</w:t>
      </w:r>
      <w:r>
        <w:rPr>
          <w:rFonts w:asciiTheme="minorHAnsi" w:hAnsiTheme="minorHAnsi" w:cstheme="minorHAnsi"/>
          <w:sz w:val="22"/>
          <w:szCs w:val="22"/>
        </w:rPr>
        <w:t xml:space="preserve"> their initial RAG rating</w:t>
      </w:r>
      <w:r w:rsidR="00CF4C13">
        <w:rPr>
          <w:rFonts w:asciiTheme="minorHAnsi" w:hAnsiTheme="minorHAnsi" w:cstheme="minorHAnsi"/>
          <w:sz w:val="22"/>
          <w:szCs w:val="22"/>
        </w:rPr>
        <w:t xml:space="preserve"> and </w:t>
      </w:r>
      <w:r w:rsidR="00BE042A">
        <w:rPr>
          <w:rFonts w:asciiTheme="minorHAnsi" w:hAnsiTheme="minorHAnsi" w:cstheme="minorHAnsi"/>
          <w:sz w:val="22"/>
          <w:szCs w:val="22"/>
        </w:rPr>
        <w:t>only</w:t>
      </w:r>
      <w:r w:rsidR="00CF4C13">
        <w:rPr>
          <w:rFonts w:asciiTheme="minorHAnsi" w:hAnsiTheme="minorHAnsi" w:cstheme="minorHAnsi"/>
          <w:sz w:val="22"/>
          <w:szCs w:val="22"/>
        </w:rPr>
        <w:t xml:space="preserve"> one (PA10</w:t>
      </w:r>
      <w:r w:rsidR="00055145">
        <w:rPr>
          <w:rFonts w:asciiTheme="minorHAnsi" w:hAnsiTheme="minorHAnsi" w:cstheme="minorHAnsi"/>
          <w:sz w:val="22"/>
          <w:szCs w:val="22"/>
        </w:rPr>
        <w:t>)</w:t>
      </w:r>
      <w:r w:rsidR="00186295">
        <w:rPr>
          <w:rFonts w:asciiTheme="minorHAnsi" w:hAnsiTheme="minorHAnsi" w:cstheme="minorHAnsi"/>
          <w:sz w:val="22"/>
          <w:szCs w:val="22"/>
        </w:rPr>
        <w:t xml:space="preserve"> </w:t>
      </w:r>
      <w:r w:rsidR="00E741C0">
        <w:rPr>
          <w:rFonts w:asciiTheme="minorHAnsi" w:hAnsiTheme="minorHAnsi" w:cstheme="minorHAnsi"/>
          <w:sz w:val="22"/>
          <w:szCs w:val="22"/>
        </w:rPr>
        <w:t>rated</w:t>
      </w:r>
      <w:r w:rsidR="00186295">
        <w:rPr>
          <w:rFonts w:asciiTheme="minorHAnsi" w:hAnsiTheme="minorHAnsi" w:cstheme="minorHAnsi"/>
          <w:sz w:val="22"/>
          <w:szCs w:val="22"/>
        </w:rPr>
        <w:t xml:space="preserve"> </w:t>
      </w:r>
      <w:r w:rsidR="00BE042A">
        <w:rPr>
          <w:rFonts w:asciiTheme="minorHAnsi" w:hAnsiTheme="minorHAnsi" w:cstheme="minorHAnsi"/>
          <w:sz w:val="22"/>
          <w:szCs w:val="22"/>
        </w:rPr>
        <w:t xml:space="preserve">as being fulfilled (albeit partially: </w:t>
      </w:r>
      <w:r w:rsidR="00055145">
        <w:rPr>
          <w:rFonts w:asciiTheme="minorHAnsi" w:hAnsiTheme="minorHAnsi" w:cstheme="minorHAnsi"/>
          <w:sz w:val="22"/>
          <w:szCs w:val="22"/>
        </w:rPr>
        <w:t>Amber/</w:t>
      </w:r>
      <w:r w:rsidR="00E741C0">
        <w:rPr>
          <w:rFonts w:asciiTheme="minorHAnsi" w:hAnsiTheme="minorHAnsi" w:cstheme="minorHAnsi"/>
          <w:sz w:val="22"/>
          <w:szCs w:val="22"/>
        </w:rPr>
        <w:t>Green</w:t>
      </w:r>
      <w:r w:rsidR="00FD040B">
        <w:rPr>
          <w:rFonts w:asciiTheme="minorHAnsi" w:hAnsiTheme="minorHAnsi" w:cstheme="minorHAnsi"/>
          <w:sz w:val="22"/>
          <w:szCs w:val="22"/>
        </w:rPr>
        <w:t>)</w:t>
      </w:r>
      <w:r w:rsidR="00C06C8E">
        <w:rPr>
          <w:rFonts w:asciiTheme="minorHAnsi" w:hAnsiTheme="minorHAnsi" w:cstheme="minorHAnsi"/>
          <w:sz w:val="22"/>
          <w:szCs w:val="22"/>
        </w:rPr>
        <w:t xml:space="preserve">. </w:t>
      </w:r>
    </w:p>
    <w:p w:rsidR="00BE042A" w:rsidRDefault="00BE042A" w:rsidP="00146D7C">
      <w:pPr>
        <w:pStyle w:val="Default"/>
        <w:jc w:val="both"/>
        <w:rPr>
          <w:rFonts w:asciiTheme="minorHAnsi" w:hAnsiTheme="minorHAnsi" w:cstheme="minorHAnsi"/>
          <w:sz w:val="22"/>
          <w:szCs w:val="22"/>
        </w:rPr>
      </w:pPr>
    </w:p>
    <w:p w:rsidR="00BD0D11" w:rsidRDefault="00C06C8E" w:rsidP="00146D7C">
      <w:pPr>
        <w:pStyle w:val="Default"/>
        <w:jc w:val="both"/>
        <w:rPr>
          <w:rFonts w:asciiTheme="minorHAnsi" w:hAnsiTheme="minorHAnsi" w:cstheme="minorHAnsi"/>
          <w:sz w:val="22"/>
          <w:szCs w:val="22"/>
        </w:rPr>
      </w:pPr>
      <w:r>
        <w:rPr>
          <w:rFonts w:asciiTheme="minorHAnsi" w:hAnsiTheme="minorHAnsi" w:cstheme="minorHAnsi"/>
          <w:sz w:val="22"/>
          <w:szCs w:val="22"/>
        </w:rPr>
        <w:t xml:space="preserve">We </w:t>
      </w:r>
      <w:r w:rsidR="00957527">
        <w:rPr>
          <w:rFonts w:asciiTheme="minorHAnsi" w:hAnsiTheme="minorHAnsi" w:cstheme="minorHAnsi"/>
          <w:sz w:val="22"/>
          <w:szCs w:val="22"/>
        </w:rPr>
        <w:t>accept</w:t>
      </w:r>
      <w:r w:rsidR="00873D20">
        <w:rPr>
          <w:rFonts w:asciiTheme="minorHAnsi" w:hAnsiTheme="minorHAnsi" w:cstheme="minorHAnsi"/>
          <w:sz w:val="22"/>
          <w:szCs w:val="22"/>
        </w:rPr>
        <w:t xml:space="preserve"> that</w:t>
      </w:r>
      <w:r>
        <w:rPr>
          <w:rFonts w:asciiTheme="minorHAnsi" w:hAnsiTheme="minorHAnsi" w:cstheme="minorHAnsi"/>
          <w:sz w:val="22"/>
          <w:szCs w:val="22"/>
        </w:rPr>
        <w:t xml:space="preserve"> th</w:t>
      </w:r>
      <w:r w:rsidR="00FD040B">
        <w:rPr>
          <w:rFonts w:asciiTheme="minorHAnsi" w:hAnsiTheme="minorHAnsi" w:cstheme="minorHAnsi"/>
          <w:sz w:val="22"/>
          <w:szCs w:val="22"/>
        </w:rPr>
        <w:t>e</w:t>
      </w:r>
      <w:r w:rsidR="00186295">
        <w:rPr>
          <w:rFonts w:asciiTheme="minorHAnsi" w:hAnsiTheme="minorHAnsi" w:cstheme="minorHAnsi"/>
          <w:sz w:val="22"/>
          <w:szCs w:val="22"/>
        </w:rPr>
        <w:t xml:space="preserve"> </w:t>
      </w:r>
      <w:r w:rsidR="00FD040B">
        <w:rPr>
          <w:rFonts w:asciiTheme="minorHAnsi" w:hAnsiTheme="minorHAnsi" w:cstheme="minorHAnsi"/>
          <w:sz w:val="22"/>
          <w:szCs w:val="22"/>
        </w:rPr>
        <w:t>cultural change</w:t>
      </w:r>
      <w:r w:rsidR="00186295">
        <w:rPr>
          <w:rFonts w:asciiTheme="minorHAnsi" w:hAnsiTheme="minorHAnsi" w:cstheme="minorHAnsi"/>
          <w:sz w:val="22"/>
          <w:szCs w:val="22"/>
        </w:rPr>
        <w:t xml:space="preserve"> </w:t>
      </w:r>
      <w:r w:rsidR="00BD0D11">
        <w:rPr>
          <w:rFonts w:asciiTheme="minorHAnsi" w:hAnsiTheme="minorHAnsi" w:cstheme="minorHAnsi"/>
          <w:sz w:val="22"/>
          <w:szCs w:val="22"/>
        </w:rPr>
        <w:t xml:space="preserve">required </w:t>
      </w:r>
      <w:r w:rsidR="005E0490">
        <w:rPr>
          <w:rFonts w:asciiTheme="minorHAnsi" w:hAnsiTheme="minorHAnsi" w:cstheme="minorHAnsi"/>
          <w:sz w:val="22"/>
          <w:szCs w:val="22"/>
        </w:rPr>
        <w:t>to deliver</w:t>
      </w:r>
      <w:r w:rsidR="00186295">
        <w:rPr>
          <w:rFonts w:asciiTheme="minorHAnsi" w:hAnsiTheme="minorHAnsi" w:cstheme="minorHAnsi"/>
          <w:sz w:val="22"/>
          <w:szCs w:val="22"/>
        </w:rPr>
        <w:t xml:space="preserve"> </w:t>
      </w:r>
      <w:r w:rsidR="00441A87">
        <w:rPr>
          <w:rFonts w:asciiTheme="minorHAnsi" w:hAnsiTheme="minorHAnsi" w:cstheme="minorHAnsi"/>
          <w:sz w:val="22"/>
          <w:szCs w:val="22"/>
        </w:rPr>
        <w:t xml:space="preserve">the </w:t>
      </w:r>
      <w:r w:rsidR="00BD0D11">
        <w:rPr>
          <w:rFonts w:asciiTheme="minorHAnsi" w:hAnsiTheme="minorHAnsi" w:cstheme="minorHAnsi"/>
          <w:sz w:val="22"/>
          <w:szCs w:val="22"/>
        </w:rPr>
        <w:t>Strategy</w:t>
      </w:r>
      <w:r w:rsidR="00DC58CB">
        <w:rPr>
          <w:rFonts w:asciiTheme="minorHAnsi" w:hAnsiTheme="minorHAnsi" w:cstheme="minorHAnsi"/>
          <w:sz w:val="22"/>
          <w:szCs w:val="22"/>
        </w:rPr>
        <w:t xml:space="preserve">’s </w:t>
      </w:r>
      <w:r w:rsidR="00441A87">
        <w:rPr>
          <w:rFonts w:asciiTheme="minorHAnsi" w:hAnsiTheme="minorHAnsi" w:cstheme="minorHAnsi"/>
          <w:sz w:val="22"/>
          <w:szCs w:val="22"/>
        </w:rPr>
        <w:t>priorities</w:t>
      </w:r>
      <w:r>
        <w:rPr>
          <w:rFonts w:asciiTheme="minorHAnsi" w:hAnsiTheme="minorHAnsi" w:cstheme="minorHAnsi"/>
          <w:sz w:val="22"/>
          <w:szCs w:val="22"/>
        </w:rPr>
        <w:t xml:space="preserve"> takes time</w:t>
      </w:r>
      <w:r w:rsidR="00FD040B">
        <w:rPr>
          <w:rFonts w:asciiTheme="minorHAnsi" w:hAnsiTheme="minorHAnsi" w:cstheme="minorHAnsi"/>
          <w:sz w:val="22"/>
          <w:szCs w:val="22"/>
        </w:rPr>
        <w:t>, as</w:t>
      </w:r>
      <w:r w:rsidR="00BE042A">
        <w:rPr>
          <w:rFonts w:asciiTheme="minorHAnsi" w:hAnsiTheme="minorHAnsi" w:cstheme="minorHAnsi"/>
          <w:sz w:val="22"/>
          <w:szCs w:val="22"/>
        </w:rPr>
        <w:t xml:space="preserve"> was </w:t>
      </w:r>
      <w:r w:rsidR="00CF4C13">
        <w:rPr>
          <w:rFonts w:asciiTheme="minorHAnsi" w:hAnsiTheme="minorHAnsi" w:cstheme="minorHAnsi"/>
          <w:sz w:val="22"/>
          <w:szCs w:val="22"/>
        </w:rPr>
        <w:t>acknowledged by the RGSB</w:t>
      </w:r>
      <w:r w:rsidR="00957527">
        <w:rPr>
          <w:rFonts w:asciiTheme="minorHAnsi" w:hAnsiTheme="minorHAnsi" w:cstheme="minorHAnsi"/>
          <w:sz w:val="22"/>
          <w:szCs w:val="22"/>
        </w:rPr>
        <w:t xml:space="preserve"> in its Year 2 report</w:t>
      </w:r>
      <w:r w:rsidR="00055145">
        <w:rPr>
          <w:rStyle w:val="FootnoteReference"/>
          <w:rFonts w:cstheme="minorHAnsi"/>
          <w:i/>
        </w:rPr>
        <w:footnoteReference w:id="2"/>
      </w:r>
      <w:r w:rsidR="00957527">
        <w:rPr>
          <w:rFonts w:asciiTheme="minorHAnsi" w:hAnsiTheme="minorHAnsi" w:cstheme="minorHAnsi"/>
          <w:sz w:val="22"/>
          <w:szCs w:val="22"/>
        </w:rPr>
        <w:t>:</w:t>
      </w:r>
    </w:p>
    <w:p w:rsidR="00BD0D11" w:rsidRDefault="00BD0D11" w:rsidP="00E676DE">
      <w:pPr>
        <w:pStyle w:val="Default"/>
        <w:rPr>
          <w:rFonts w:asciiTheme="minorHAnsi" w:hAnsiTheme="minorHAnsi" w:cstheme="minorHAnsi"/>
          <w:sz w:val="22"/>
          <w:szCs w:val="22"/>
        </w:rPr>
      </w:pPr>
    </w:p>
    <w:p w:rsidR="00BD0D11" w:rsidRPr="00BD0D11" w:rsidRDefault="00BD0D11" w:rsidP="00BD0D11">
      <w:pPr>
        <w:spacing w:after="0" w:line="240" w:lineRule="auto"/>
        <w:ind w:left="720"/>
        <w:rPr>
          <w:rFonts w:cstheme="minorHAnsi"/>
          <w:i/>
        </w:rPr>
      </w:pPr>
      <w:r w:rsidRPr="00BD0D11">
        <w:rPr>
          <w:rFonts w:cstheme="minorHAnsi"/>
          <w:i/>
        </w:rPr>
        <w:t xml:space="preserve">‘Despite what we believe to have been genuinely good intentions at the beginning, ownership of the Strategy by operators is much less complete than we had hoped. Only a minority seem really to understand what is required of them if the Strategy is to be successful; and genuine culture change is, perhaps inevitably, proving to be difficult.’ </w:t>
      </w:r>
    </w:p>
    <w:p w:rsidR="00BD0D11" w:rsidRDefault="00BD0D11" w:rsidP="00E676DE">
      <w:pPr>
        <w:pStyle w:val="Default"/>
        <w:rPr>
          <w:rFonts w:asciiTheme="minorHAnsi" w:hAnsiTheme="minorHAnsi" w:cstheme="minorHAnsi"/>
          <w:sz w:val="22"/>
          <w:szCs w:val="22"/>
        </w:rPr>
      </w:pPr>
    </w:p>
    <w:p w:rsidR="00BA2086" w:rsidRDefault="00C06C8E" w:rsidP="00F22B0E">
      <w:pPr>
        <w:pStyle w:val="Default"/>
        <w:jc w:val="both"/>
        <w:rPr>
          <w:rFonts w:asciiTheme="minorHAnsi" w:hAnsiTheme="minorHAnsi" w:cstheme="minorHAnsi"/>
          <w:sz w:val="22"/>
          <w:szCs w:val="22"/>
        </w:rPr>
      </w:pPr>
      <w:r>
        <w:rPr>
          <w:rFonts w:asciiTheme="minorHAnsi" w:hAnsiTheme="minorHAnsi" w:cstheme="minorHAnsi"/>
          <w:sz w:val="22"/>
          <w:szCs w:val="22"/>
        </w:rPr>
        <w:t>We would suggest</w:t>
      </w:r>
      <w:r w:rsidR="00E759B8">
        <w:rPr>
          <w:rFonts w:asciiTheme="minorHAnsi" w:hAnsiTheme="minorHAnsi" w:cstheme="minorHAnsi"/>
          <w:sz w:val="22"/>
          <w:szCs w:val="22"/>
        </w:rPr>
        <w:t>, however,</w:t>
      </w:r>
      <w:r>
        <w:rPr>
          <w:rFonts w:asciiTheme="minorHAnsi" w:hAnsiTheme="minorHAnsi" w:cstheme="minorHAnsi"/>
          <w:sz w:val="22"/>
          <w:szCs w:val="22"/>
        </w:rPr>
        <w:t xml:space="preserve"> that it </w:t>
      </w:r>
      <w:r w:rsidR="00E741C0">
        <w:rPr>
          <w:rFonts w:asciiTheme="minorHAnsi" w:hAnsiTheme="minorHAnsi" w:cstheme="minorHAnsi"/>
          <w:sz w:val="22"/>
          <w:szCs w:val="22"/>
        </w:rPr>
        <w:t>is</w:t>
      </w:r>
      <w:r w:rsidR="00186295">
        <w:rPr>
          <w:rFonts w:asciiTheme="minorHAnsi" w:hAnsiTheme="minorHAnsi" w:cstheme="minorHAnsi"/>
          <w:sz w:val="22"/>
          <w:szCs w:val="22"/>
        </w:rPr>
        <w:t xml:space="preserve"> </w:t>
      </w:r>
      <w:r w:rsidR="004F7031">
        <w:rPr>
          <w:rFonts w:asciiTheme="minorHAnsi" w:hAnsiTheme="minorHAnsi" w:cstheme="minorHAnsi"/>
          <w:sz w:val="22"/>
          <w:szCs w:val="22"/>
        </w:rPr>
        <w:t xml:space="preserve">not </w:t>
      </w:r>
      <w:r>
        <w:rPr>
          <w:rFonts w:asciiTheme="minorHAnsi" w:hAnsiTheme="minorHAnsi" w:cstheme="minorHAnsi"/>
          <w:sz w:val="22"/>
          <w:szCs w:val="22"/>
        </w:rPr>
        <w:t xml:space="preserve">unreasonable </w:t>
      </w:r>
      <w:r w:rsidR="00CF4C13">
        <w:rPr>
          <w:rFonts w:asciiTheme="minorHAnsi" w:hAnsiTheme="minorHAnsi" w:cstheme="minorHAnsi"/>
          <w:sz w:val="22"/>
          <w:szCs w:val="22"/>
        </w:rPr>
        <w:t xml:space="preserve">to expect indications of change </w:t>
      </w:r>
      <w:r>
        <w:rPr>
          <w:rFonts w:asciiTheme="minorHAnsi" w:hAnsiTheme="minorHAnsi" w:cstheme="minorHAnsi"/>
          <w:sz w:val="22"/>
          <w:szCs w:val="22"/>
        </w:rPr>
        <w:t>to be more robust after thre</w:t>
      </w:r>
      <w:r w:rsidR="00055145">
        <w:rPr>
          <w:rFonts w:asciiTheme="minorHAnsi" w:hAnsiTheme="minorHAnsi" w:cstheme="minorHAnsi"/>
          <w:sz w:val="22"/>
          <w:szCs w:val="22"/>
        </w:rPr>
        <w:t xml:space="preserve">e years than is apparent in </w:t>
      </w:r>
      <w:r w:rsidR="00F314FC">
        <w:rPr>
          <w:rFonts w:asciiTheme="minorHAnsi" w:hAnsiTheme="minorHAnsi" w:cstheme="minorHAnsi"/>
          <w:sz w:val="22"/>
          <w:szCs w:val="22"/>
        </w:rPr>
        <w:t>the</w:t>
      </w:r>
      <w:r w:rsidR="00186295">
        <w:rPr>
          <w:rFonts w:asciiTheme="minorHAnsi" w:hAnsiTheme="minorHAnsi" w:cstheme="minorHAnsi"/>
          <w:sz w:val="22"/>
          <w:szCs w:val="22"/>
        </w:rPr>
        <w:t xml:space="preserve"> </w:t>
      </w:r>
      <w:r w:rsidR="00071CC7" w:rsidRPr="00071CC7">
        <w:rPr>
          <w:rFonts w:asciiTheme="minorHAnsi" w:hAnsiTheme="minorHAnsi" w:cstheme="minorHAnsi"/>
          <w:sz w:val="22"/>
          <w:szCs w:val="22"/>
        </w:rPr>
        <w:t>mid-term assessment</w:t>
      </w:r>
      <w:r w:rsidR="00E741C0">
        <w:rPr>
          <w:rFonts w:asciiTheme="minorHAnsi" w:hAnsiTheme="minorHAnsi" w:cstheme="minorHAnsi"/>
          <w:sz w:val="22"/>
          <w:szCs w:val="22"/>
        </w:rPr>
        <w:t xml:space="preserve">. </w:t>
      </w:r>
      <w:r w:rsidR="00071CC7">
        <w:rPr>
          <w:rFonts w:asciiTheme="minorHAnsi" w:hAnsiTheme="minorHAnsi" w:cstheme="minorHAnsi"/>
          <w:sz w:val="22"/>
          <w:szCs w:val="22"/>
        </w:rPr>
        <w:t xml:space="preserve"> </w:t>
      </w:r>
      <w:r w:rsidR="00E741C0">
        <w:rPr>
          <w:rFonts w:asciiTheme="minorHAnsi" w:hAnsiTheme="minorHAnsi" w:cstheme="minorHAnsi"/>
          <w:sz w:val="22"/>
          <w:szCs w:val="22"/>
        </w:rPr>
        <w:t xml:space="preserve">Despite </w:t>
      </w:r>
      <w:r w:rsidR="000228DA">
        <w:rPr>
          <w:rFonts w:asciiTheme="minorHAnsi" w:hAnsiTheme="minorHAnsi" w:cstheme="minorHAnsi"/>
          <w:sz w:val="22"/>
          <w:szCs w:val="22"/>
        </w:rPr>
        <w:t xml:space="preserve">highlighting </w:t>
      </w:r>
      <w:r w:rsidR="00CF4C13">
        <w:rPr>
          <w:rFonts w:asciiTheme="minorHAnsi" w:hAnsiTheme="minorHAnsi" w:cstheme="minorHAnsi"/>
          <w:sz w:val="22"/>
          <w:szCs w:val="22"/>
        </w:rPr>
        <w:t xml:space="preserve">at the end of Year 2 </w:t>
      </w:r>
      <w:r w:rsidR="000228DA">
        <w:rPr>
          <w:rFonts w:asciiTheme="minorHAnsi" w:hAnsiTheme="minorHAnsi" w:cstheme="minorHAnsi"/>
          <w:sz w:val="22"/>
          <w:szCs w:val="22"/>
        </w:rPr>
        <w:t>that</w:t>
      </w:r>
      <w:r w:rsidR="00E741C0">
        <w:rPr>
          <w:rFonts w:asciiTheme="minorHAnsi" w:hAnsiTheme="minorHAnsi" w:cstheme="minorHAnsi"/>
          <w:sz w:val="22"/>
          <w:szCs w:val="22"/>
        </w:rPr>
        <w:t xml:space="preserve"> considerable work</w:t>
      </w:r>
      <w:r w:rsidR="000228DA">
        <w:rPr>
          <w:rFonts w:asciiTheme="minorHAnsi" w:hAnsiTheme="minorHAnsi" w:cstheme="minorHAnsi"/>
          <w:sz w:val="22"/>
          <w:szCs w:val="22"/>
        </w:rPr>
        <w:t xml:space="preserve"> was still needed to ensure the success of t</w:t>
      </w:r>
      <w:r w:rsidR="00CF4C13">
        <w:rPr>
          <w:rFonts w:asciiTheme="minorHAnsi" w:hAnsiTheme="minorHAnsi" w:cstheme="minorHAnsi"/>
          <w:sz w:val="22"/>
          <w:szCs w:val="22"/>
        </w:rPr>
        <w:t>he Strategy</w:t>
      </w:r>
      <w:r w:rsidR="00F314FC">
        <w:rPr>
          <w:rFonts w:asciiTheme="minorHAnsi" w:hAnsiTheme="minorHAnsi" w:cstheme="minorHAnsi"/>
          <w:sz w:val="22"/>
          <w:szCs w:val="22"/>
        </w:rPr>
        <w:t xml:space="preserve">, the </w:t>
      </w:r>
      <w:r w:rsidR="00F314FC" w:rsidRPr="00071CC7">
        <w:rPr>
          <w:rFonts w:asciiTheme="minorHAnsi" w:hAnsiTheme="minorHAnsi" w:cstheme="minorHAnsi"/>
          <w:sz w:val="22"/>
          <w:szCs w:val="22"/>
        </w:rPr>
        <w:t>assessment</w:t>
      </w:r>
      <w:r w:rsidR="00186295">
        <w:rPr>
          <w:rFonts w:asciiTheme="minorHAnsi" w:hAnsiTheme="minorHAnsi" w:cstheme="minorHAnsi"/>
          <w:sz w:val="22"/>
          <w:szCs w:val="22"/>
        </w:rPr>
        <w:t xml:space="preserve"> </w:t>
      </w:r>
      <w:r w:rsidR="00071CC7">
        <w:rPr>
          <w:rFonts w:asciiTheme="minorHAnsi" w:hAnsiTheme="minorHAnsi" w:cstheme="minorHAnsi"/>
          <w:sz w:val="22"/>
          <w:szCs w:val="22"/>
        </w:rPr>
        <w:t>confirmed</w:t>
      </w:r>
      <w:r w:rsidR="000228DA">
        <w:rPr>
          <w:rFonts w:asciiTheme="minorHAnsi" w:hAnsiTheme="minorHAnsi" w:cstheme="minorHAnsi"/>
          <w:sz w:val="22"/>
          <w:szCs w:val="22"/>
        </w:rPr>
        <w:t xml:space="preserve"> relatively</w:t>
      </w:r>
      <w:r w:rsidR="00957527">
        <w:rPr>
          <w:rFonts w:asciiTheme="minorHAnsi" w:hAnsiTheme="minorHAnsi" w:cstheme="minorHAnsi"/>
          <w:sz w:val="22"/>
          <w:szCs w:val="22"/>
        </w:rPr>
        <w:t xml:space="preserve"> limited further </w:t>
      </w:r>
      <w:r w:rsidR="00071CC7">
        <w:rPr>
          <w:rFonts w:asciiTheme="minorHAnsi" w:hAnsiTheme="minorHAnsi" w:cstheme="minorHAnsi"/>
          <w:sz w:val="22"/>
          <w:szCs w:val="22"/>
        </w:rPr>
        <w:t>progress to date</w:t>
      </w:r>
      <w:r>
        <w:rPr>
          <w:rFonts w:asciiTheme="minorHAnsi" w:hAnsiTheme="minorHAnsi" w:cstheme="minorHAnsi"/>
          <w:sz w:val="22"/>
          <w:szCs w:val="22"/>
        </w:rPr>
        <w:t xml:space="preserve">. </w:t>
      </w:r>
      <w:r w:rsidR="00071CC7">
        <w:rPr>
          <w:rFonts w:asciiTheme="minorHAnsi" w:hAnsiTheme="minorHAnsi" w:cstheme="minorHAnsi"/>
          <w:sz w:val="22"/>
          <w:szCs w:val="22"/>
        </w:rPr>
        <w:t xml:space="preserve"> </w:t>
      </w:r>
      <w:r w:rsidR="00957527">
        <w:rPr>
          <w:rFonts w:asciiTheme="minorHAnsi" w:hAnsiTheme="minorHAnsi" w:cstheme="minorHAnsi"/>
          <w:sz w:val="22"/>
          <w:szCs w:val="22"/>
        </w:rPr>
        <w:t>As a result,</w:t>
      </w:r>
      <w:r>
        <w:rPr>
          <w:rFonts w:asciiTheme="minorHAnsi" w:hAnsiTheme="minorHAnsi" w:cstheme="minorHAnsi"/>
          <w:sz w:val="22"/>
          <w:szCs w:val="22"/>
        </w:rPr>
        <w:t xml:space="preserve"> individuals, families and </w:t>
      </w:r>
      <w:r w:rsidR="00957527">
        <w:rPr>
          <w:rFonts w:asciiTheme="minorHAnsi" w:hAnsiTheme="minorHAnsi" w:cstheme="minorHAnsi"/>
          <w:sz w:val="22"/>
          <w:szCs w:val="22"/>
        </w:rPr>
        <w:t xml:space="preserve">their </w:t>
      </w:r>
      <w:r>
        <w:rPr>
          <w:rFonts w:asciiTheme="minorHAnsi" w:hAnsiTheme="minorHAnsi" w:cstheme="minorHAnsi"/>
          <w:sz w:val="22"/>
          <w:szCs w:val="22"/>
        </w:rPr>
        <w:t xml:space="preserve">communities </w:t>
      </w:r>
      <w:r w:rsidR="00957527">
        <w:rPr>
          <w:rFonts w:asciiTheme="minorHAnsi" w:hAnsiTheme="minorHAnsi" w:cstheme="minorHAnsi"/>
          <w:sz w:val="22"/>
          <w:szCs w:val="22"/>
        </w:rPr>
        <w:t>will have</w:t>
      </w:r>
      <w:r>
        <w:rPr>
          <w:rFonts w:asciiTheme="minorHAnsi" w:hAnsiTheme="minorHAnsi" w:cstheme="minorHAnsi"/>
          <w:sz w:val="22"/>
          <w:szCs w:val="22"/>
        </w:rPr>
        <w:t xml:space="preserve"> continue</w:t>
      </w:r>
      <w:r w:rsidR="00957527">
        <w:rPr>
          <w:rFonts w:asciiTheme="minorHAnsi" w:hAnsiTheme="minorHAnsi" w:cstheme="minorHAnsi"/>
          <w:sz w:val="22"/>
          <w:szCs w:val="22"/>
        </w:rPr>
        <w:t>d</w:t>
      </w:r>
      <w:r>
        <w:rPr>
          <w:rFonts w:asciiTheme="minorHAnsi" w:hAnsiTheme="minorHAnsi" w:cstheme="minorHAnsi"/>
          <w:sz w:val="22"/>
          <w:szCs w:val="22"/>
        </w:rPr>
        <w:t xml:space="preserve"> to </w:t>
      </w:r>
      <w:r w:rsidR="00441A87">
        <w:rPr>
          <w:rFonts w:asciiTheme="minorHAnsi" w:hAnsiTheme="minorHAnsi" w:cstheme="minorHAnsi"/>
          <w:sz w:val="22"/>
          <w:szCs w:val="22"/>
        </w:rPr>
        <w:t>struggle</w:t>
      </w:r>
      <w:r>
        <w:rPr>
          <w:rFonts w:asciiTheme="minorHAnsi" w:hAnsiTheme="minorHAnsi" w:cstheme="minorHAnsi"/>
          <w:sz w:val="22"/>
          <w:szCs w:val="22"/>
        </w:rPr>
        <w:t xml:space="preserve"> without the </w:t>
      </w:r>
      <w:r w:rsidR="00441A87">
        <w:rPr>
          <w:rFonts w:asciiTheme="minorHAnsi" w:hAnsiTheme="minorHAnsi" w:cstheme="minorHAnsi"/>
          <w:sz w:val="22"/>
          <w:szCs w:val="22"/>
        </w:rPr>
        <w:t xml:space="preserve">information and </w:t>
      </w:r>
      <w:r>
        <w:rPr>
          <w:rFonts w:asciiTheme="minorHAnsi" w:hAnsiTheme="minorHAnsi" w:cstheme="minorHAnsi"/>
          <w:sz w:val="22"/>
          <w:szCs w:val="22"/>
        </w:rPr>
        <w:t xml:space="preserve">support they need and deserve. </w:t>
      </w:r>
    </w:p>
    <w:p w:rsidR="00BA2086" w:rsidRDefault="00BA2086" w:rsidP="00F22B0E">
      <w:pPr>
        <w:pStyle w:val="Default"/>
        <w:jc w:val="both"/>
        <w:rPr>
          <w:rFonts w:asciiTheme="minorHAnsi" w:hAnsiTheme="minorHAnsi" w:cstheme="minorHAnsi"/>
          <w:sz w:val="22"/>
          <w:szCs w:val="22"/>
        </w:rPr>
      </w:pPr>
    </w:p>
    <w:p w:rsidR="00BA2086" w:rsidRDefault="009D49BC" w:rsidP="00F22B0E">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 xml:space="preserve">Commitment to change needs to be underpinned by a genuine motivation to do things differently i.e. action rather than words.  The pace of progress evidenced in </w:t>
      </w:r>
      <w:r w:rsidR="00071CC7">
        <w:rPr>
          <w:rFonts w:asciiTheme="minorHAnsi" w:hAnsiTheme="minorHAnsi" w:cstheme="minorHAnsi"/>
          <w:sz w:val="22"/>
          <w:szCs w:val="22"/>
        </w:rPr>
        <w:t>mid-term assessment</w:t>
      </w:r>
      <w:r>
        <w:rPr>
          <w:rFonts w:asciiTheme="minorHAnsi" w:hAnsiTheme="minorHAnsi" w:cstheme="minorHAnsi"/>
          <w:sz w:val="22"/>
          <w:szCs w:val="22"/>
        </w:rPr>
        <w:t xml:space="preserve"> suggests that, in some parts of the industry, </w:t>
      </w:r>
      <w:r w:rsidR="00F314FC">
        <w:rPr>
          <w:rFonts w:asciiTheme="minorHAnsi" w:hAnsiTheme="minorHAnsi" w:cstheme="minorHAnsi"/>
          <w:sz w:val="22"/>
          <w:szCs w:val="22"/>
        </w:rPr>
        <w:t xml:space="preserve">motivation </w:t>
      </w:r>
      <w:r w:rsidR="00BA2086">
        <w:rPr>
          <w:rFonts w:asciiTheme="minorHAnsi" w:hAnsiTheme="minorHAnsi" w:cstheme="minorHAnsi"/>
          <w:sz w:val="22"/>
          <w:szCs w:val="22"/>
        </w:rPr>
        <w:t>has been</w:t>
      </w:r>
      <w:r>
        <w:rPr>
          <w:rFonts w:asciiTheme="minorHAnsi" w:hAnsiTheme="minorHAnsi" w:cstheme="minorHAnsi"/>
          <w:sz w:val="22"/>
          <w:szCs w:val="22"/>
        </w:rPr>
        <w:t xml:space="preserve"> weaker than had been expected. </w:t>
      </w:r>
      <w:r w:rsidR="0077221A">
        <w:rPr>
          <w:rFonts w:asciiTheme="minorHAnsi" w:hAnsiTheme="minorHAnsi" w:cstheme="minorHAnsi"/>
          <w:sz w:val="22"/>
          <w:szCs w:val="22"/>
        </w:rPr>
        <w:t xml:space="preserve">It remains to be seen whether the inherent tension between the industry’s commitment to progress and the commercial priorities on which their businesses depend can be resolved during </w:t>
      </w:r>
      <w:r w:rsidR="00055145">
        <w:rPr>
          <w:rFonts w:asciiTheme="minorHAnsi" w:hAnsiTheme="minorHAnsi" w:cstheme="minorHAnsi"/>
          <w:sz w:val="22"/>
          <w:szCs w:val="22"/>
        </w:rPr>
        <w:t>the new strategy’s</w:t>
      </w:r>
      <w:r w:rsidR="0077221A">
        <w:rPr>
          <w:rFonts w:asciiTheme="minorHAnsi" w:hAnsiTheme="minorHAnsi" w:cstheme="minorHAnsi"/>
          <w:sz w:val="22"/>
          <w:szCs w:val="22"/>
        </w:rPr>
        <w:t xml:space="preserve"> implementation. </w:t>
      </w:r>
    </w:p>
    <w:p w:rsidR="00BA2086" w:rsidRDefault="00BA2086" w:rsidP="00E676DE">
      <w:pPr>
        <w:pStyle w:val="Default"/>
        <w:rPr>
          <w:rFonts w:asciiTheme="minorHAnsi" w:hAnsiTheme="minorHAnsi" w:cstheme="minorHAnsi"/>
          <w:sz w:val="22"/>
          <w:szCs w:val="22"/>
        </w:rPr>
      </w:pPr>
    </w:p>
    <w:p w:rsidR="00BD0D11" w:rsidRDefault="0077221A" w:rsidP="00E676DE">
      <w:pPr>
        <w:pStyle w:val="Default"/>
        <w:rPr>
          <w:rFonts w:asciiTheme="minorHAnsi" w:hAnsiTheme="minorHAnsi" w:cstheme="minorHAnsi"/>
          <w:sz w:val="22"/>
          <w:szCs w:val="22"/>
        </w:rPr>
      </w:pPr>
      <w:r>
        <w:rPr>
          <w:rFonts w:asciiTheme="minorHAnsi" w:hAnsiTheme="minorHAnsi" w:cstheme="minorHAnsi"/>
          <w:sz w:val="22"/>
          <w:szCs w:val="22"/>
        </w:rPr>
        <w:t>We</w:t>
      </w:r>
      <w:r w:rsidR="004605B1">
        <w:rPr>
          <w:rFonts w:asciiTheme="minorHAnsi" w:hAnsiTheme="minorHAnsi" w:cstheme="minorHAnsi"/>
          <w:sz w:val="22"/>
          <w:szCs w:val="22"/>
        </w:rPr>
        <w:t xml:space="preserve"> strongly support the development of a</w:t>
      </w:r>
      <w:r w:rsidR="00BD0D11">
        <w:rPr>
          <w:rFonts w:asciiTheme="minorHAnsi" w:hAnsiTheme="minorHAnsi" w:cstheme="minorHAnsi"/>
          <w:sz w:val="22"/>
          <w:szCs w:val="22"/>
        </w:rPr>
        <w:t xml:space="preserve">n implementation </w:t>
      </w:r>
      <w:r w:rsidR="004605B1">
        <w:rPr>
          <w:rFonts w:asciiTheme="minorHAnsi" w:hAnsiTheme="minorHAnsi" w:cstheme="minorHAnsi"/>
          <w:sz w:val="22"/>
          <w:szCs w:val="22"/>
        </w:rPr>
        <w:t>plan</w:t>
      </w:r>
      <w:r w:rsidR="008A7865">
        <w:rPr>
          <w:rFonts w:asciiTheme="minorHAnsi" w:hAnsiTheme="minorHAnsi" w:cstheme="minorHAnsi"/>
          <w:sz w:val="22"/>
          <w:szCs w:val="22"/>
        </w:rPr>
        <w:t>, suggested in RGSB’s</w:t>
      </w:r>
      <w:r w:rsidR="00055145">
        <w:rPr>
          <w:rFonts w:asciiTheme="minorHAnsi" w:hAnsiTheme="minorHAnsi" w:cstheme="minorHAnsi"/>
          <w:sz w:val="22"/>
          <w:szCs w:val="22"/>
        </w:rPr>
        <w:t xml:space="preserve"> Y</w:t>
      </w:r>
      <w:r w:rsidR="00ED4288">
        <w:rPr>
          <w:rFonts w:asciiTheme="minorHAnsi" w:hAnsiTheme="minorHAnsi" w:cstheme="minorHAnsi"/>
          <w:sz w:val="22"/>
          <w:szCs w:val="22"/>
        </w:rPr>
        <w:t>ear 2 r</w:t>
      </w:r>
      <w:r w:rsidR="00055145">
        <w:rPr>
          <w:rFonts w:asciiTheme="minorHAnsi" w:hAnsiTheme="minorHAnsi" w:cstheme="minorHAnsi"/>
          <w:sz w:val="22"/>
          <w:szCs w:val="22"/>
        </w:rPr>
        <w:t>eport</w:t>
      </w:r>
      <w:r w:rsidR="00B552A3">
        <w:rPr>
          <w:rFonts w:asciiTheme="minorHAnsi" w:hAnsiTheme="minorHAnsi" w:cstheme="minorHAnsi"/>
          <w:sz w:val="22"/>
          <w:szCs w:val="22"/>
        </w:rPr>
        <w:t>, and hope that it will be considered in the development of the new strategy.</w:t>
      </w:r>
    </w:p>
    <w:p w:rsidR="00BA2086" w:rsidRDefault="00BA2086" w:rsidP="00E676DE">
      <w:pPr>
        <w:pStyle w:val="Default"/>
        <w:rPr>
          <w:rFonts w:asciiTheme="minorHAnsi" w:hAnsiTheme="minorHAnsi" w:cstheme="minorHAnsi"/>
          <w:sz w:val="22"/>
          <w:szCs w:val="22"/>
        </w:rPr>
      </w:pPr>
    </w:p>
    <w:p w:rsidR="002A013F" w:rsidRDefault="00BD0D11" w:rsidP="002A013F">
      <w:pPr>
        <w:spacing w:after="0" w:line="240" w:lineRule="auto"/>
        <w:ind w:left="720"/>
        <w:rPr>
          <w:rFonts w:cstheme="minorHAnsi"/>
          <w:i/>
        </w:rPr>
      </w:pPr>
      <w:r w:rsidRPr="00BD0D11">
        <w:rPr>
          <w:rFonts w:cstheme="minorHAnsi"/>
          <w:i/>
        </w:rPr>
        <w:t>‘In retrospect, it was probably a mistake not to have a more fully worked through implementation plan for delivering the Strategy, with individual accountabilities more clearly established and greater direction from the Gambling Commission about what they expected to happen.’</w:t>
      </w:r>
      <w:r w:rsidR="002A013F">
        <w:rPr>
          <w:rStyle w:val="FootnoteReference"/>
          <w:rFonts w:cstheme="minorHAnsi"/>
          <w:i/>
        </w:rPr>
        <w:footnoteReference w:id="3"/>
      </w:r>
    </w:p>
    <w:p w:rsidR="00ED4288" w:rsidRDefault="00ED4288" w:rsidP="000B3C1E">
      <w:pPr>
        <w:spacing w:after="0" w:line="240" w:lineRule="auto"/>
        <w:rPr>
          <w:rFonts w:cstheme="minorHAnsi"/>
        </w:rPr>
      </w:pPr>
    </w:p>
    <w:p w:rsidR="00033BCF" w:rsidRPr="000B3C1E" w:rsidRDefault="00976877" w:rsidP="000B3C1E">
      <w:pPr>
        <w:pStyle w:val="ListParagraph"/>
        <w:numPr>
          <w:ilvl w:val="0"/>
          <w:numId w:val="10"/>
        </w:numPr>
        <w:spacing w:after="0" w:line="240" w:lineRule="auto"/>
        <w:ind w:left="426" w:hanging="426"/>
        <w:rPr>
          <w:rFonts w:cstheme="minorHAnsi"/>
          <w:b/>
        </w:rPr>
      </w:pPr>
      <w:r w:rsidRPr="000B3C1E">
        <w:rPr>
          <w:b/>
        </w:rPr>
        <w:t xml:space="preserve">IDENTIFYING HARMS </w:t>
      </w:r>
      <w:r w:rsidR="00524D79">
        <w:rPr>
          <w:b/>
        </w:rPr>
        <w:t>(PA1</w:t>
      </w:r>
      <w:r w:rsidRPr="000B3C1E">
        <w:rPr>
          <w:b/>
        </w:rPr>
        <w:t>)</w:t>
      </w:r>
    </w:p>
    <w:p w:rsidR="00055145" w:rsidRDefault="00E20B15" w:rsidP="00071CC7">
      <w:pPr>
        <w:pStyle w:val="ListParagraph"/>
        <w:spacing w:after="0" w:line="240" w:lineRule="auto"/>
        <w:ind w:left="425"/>
        <w:contextualSpacing w:val="0"/>
        <w:jc w:val="both"/>
        <w:rPr>
          <w:rFonts w:cstheme="minorHAnsi"/>
        </w:rPr>
      </w:pPr>
      <w:r>
        <w:rPr>
          <w:rFonts w:cstheme="minorHAnsi"/>
        </w:rPr>
        <w:t>We are pleased to see that GambleAware has now commissioned research into gambling-related suicide</w:t>
      </w:r>
      <w:r w:rsidR="00F5378A">
        <w:rPr>
          <w:rFonts w:cstheme="minorHAnsi"/>
        </w:rPr>
        <w:t xml:space="preserve">, which has long represented a key gap in the wider picture of gambling-related harms, </w:t>
      </w:r>
      <w:r>
        <w:rPr>
          <w:rFonts w:cstheme="minorHAnsi"/>
        </w:rPr>
        <w:t xml:space="preserve">and that further work is planned. </w:t>
      </w:r>
      <w:r w:rsidR="00F5378A">
        <w:rPr>
          <w:rFonts w:cstheme="minorHAnsi"/>
        </w:rPr>
        <w:t xml:space="preserve">We also welcome the work now underway on a framework for understanding and measuring harms in children and young people, and the potential collaboration between the Gambling Commission and the Howard League for Penal Reform on research into crime and gambling. </w:t>
      </w:r>
    </w:p>
    <w:p w:rsidR="005E0490" w:rsidRDefault="005E0490" w:rsidP="00071CC7">
      <w:pPr>
        <w:pStyle w:val="ListParagraph"/>
        <w:ind w:left="426"/>
        <w:jc w:val="both"/>
        <w:rPr>
          <w:rFonts w:cstheme="minorHAnsi"/>
        </w:rPr>
      </w:pPr>
    </w:p>
    <w:p w:rsidR="00524D79" w:rsidRDefault="00524D79" w:rsidP="00146D7C">
      <w:pPr>
        <w:pStyle w:val="ListParagraph"/>
        <w:spacing w:after="0" w:line="240" w:lineRule="auto"/>
        <w:ind w:left="425"/>
        <w:contextualSpacing w:val="0"/>
        <w:jc w:val="both"/>
        <w:rPr>
          <w:rFonts w:cstheme="minorHAnsi"/>
        </w:rPr>
      </w:pPr>
      <w:r>
        <w:rPr>
          <w:rFonts w:cstheme="minorHAnsi"/>
        </w:rPr>
        <w:t>The Strategy’s priorities have tended to focus on identifying and responding to the nee</w:t>
      </w:r>
      <w:r w:rsidR="00E66A33">
        <w:rPr>
          <w:rFonts w:cstheme="minorHAnsi"/>
        </w:rPr>
        <w:t>ds of individual problem and at-</w:t>
      </w:r>
      <w:r>
        <w:rPr>
          <w:rFonts w:cstheme="minorHAnsi"/>
        </w:rPr>
        <w:t xml:space="preserve">risk gamblers, seen primarily by the industry as a relatively small </w:t>
      </w:r>
      <w:r w:rsidR="003E326D">
        <w:rPr>
          <w:rFonts w:cstheme="minorHAnsi"/>
        </w:rPr>
        <w:t>proportion</w:t>
      </w:r>
      <w:r>
        <w:rPr>
          <w:rFonts w:cstheme="minorHAnsi"/>
        </w:rPr>
        <w:t xml:space="preserve"> of </w:t>
      </w:r>
      <w:r w:rsidR="003E326D">
        <w:rPr>
          <w:rFonts w:cstheme="minorHAnsi"/>
        </w:rPr>
        <w:t xml:space="preserve">its </w:t>
      </w:r>
      <w:r>
        <w:rPr>
          <w:rFonts w:cstheme="minorHAnsi"/>
        </w:rPr>
        <w:t>consumers</w:t>
      </w:r>
      <w:r w:rsidR="003E326D">
        <w:rPr>
          <w:rFonts w:cstheme="minorHAnsi"/>
        </w:rPr>
        <w:t>:</w:t>
      </w:r>
    </w:p>
    <w:p w:rsidR="004D1244" w:rsidRDefault="004D1244" w:rsidP="00524D79">
      <w:pPr>
        <w:pStyle w:val="ListParagraph"/>
        <w:spacing w:after="0" w:line="240" w:lineRule="auto"/>
        <w:ind w:left="425"/>
        <w:contextualSpacing w:val="0"/>
        <w:rPr>
          <w:rFonts w:cstheme="minorHAnsi"/>
        </w:rPr>
      </w:pPr>
    </w:p>
    <w:p w:rsidR="00524D79" w:rsidRPr="004D1244" w:rsidRDefault="004D1244" w:rsidP="00D13DEB">
      <w:pPr>
        <w:pStyle w:val="ListParagraph"/>
        <w:spacing w:after="0" w:line="240" w:lineRule="auto"/>
        <w:ind w:left="709"/>
        <w:contextualSpacing w:val="0"/>
        <w:rPr>
          <w:rFonts w:cstheme="minorHAnsi"/>
          <w:i/>
        </w:rPr>
      </w:pPr>
      <w:r w:rsidRPr="004D1244">
        <w:rPr>
          <w:rFonts w:cstheme="minorHAnsi"/>
          <w:i/>
        </w:rPr>
        <w:t xml:space="preserve">‘In too many cases, operators appear to believe that prevalence of gambling problems among their customers is less than in the population as a whole. That is, to say the least, extremely unlikely. </w:t>
      </w:r>
      <w:r w:rsidR="00186295">
        <w:rPr>
          <w:rFonts w:cstheme="minorHAnsi"/>
          <w:i/>
        </w:rPr>
        <w:t xml:space="preserve"> </w:t>
      </w:r>
      <w:r w:rsidRPr="004D1244">
        <w:rPr>
          <w:rFonts w:cstheme="minorHAnsi"/>
          <w:i/>
        </w:rPr>
        <w:t>It implies an unacceptable level of complacency.’</w:t>
      </w:r>
      <w:r>
        <w:rPr>
          <w:rStyle w:val="FootnoteReference"/>
          <w:rFonts w:cstheme="minorHAnsi"/>
          <w:i/>
        </w:rPr>
        <w:footnoteReference w:id="4"/>
      </w:r>
    </w:p>
    <w:p w:rsidR="004D1244" w:rsidRDefault="004D1244" w:rsidP="00EB2B19">
      <w:pPr>
        <w:pStyle w:val="ListParagraph"/>
        <w:spacing w:after="0" w:line="240" w:lineRule="auto"/>
        <w:ind w:left="425"/>
        <w:contextualSpacing w:val="0"/>
        <w:rPr>
          <w:rFonts w:cstheme="minorHAnsi"/>
        </w:rPr>
      </w:pPr>
    </w:p>
    <w:p w:rsidR="00524D79" w:rsidRPr="00390445" w:rsidRDefault="00390445" w:rsidP="00390445">
      <w:pPr>
        <w:pStyle w:val="ListParagraph"/>
        <w:spacing w:after="0" w:line="240" w:lineRule="auto"/>
        <w:ind w:left="426"/>
        <w:jc w:val="both"/>
      </w:pPr>
      <w:r w:rsidRPr="00390445">
        <w:rPr>
          <w:rFonts w:cstheme="minorHAnsi"/>
        </w:rPr>
        <w:t xml:space="preserve">The </w:t>
      </w:r>
      <w:r w:rsidR="00071CC7">
        <w:rPr>
          <w:rFonts w:cstheme="minorHAnsi"/>
        </w:rPr>
        <w:t>mid-term assessment</w:t>
      </w:r>
      <w:r w:rsidR="00F22B0E">
        <w:rPr>
          <w:rFonts w:cstheme="minorHAnsi"/>
        </w:rPr>
        <w:t xml:space="preserve"> </w:t>
      </w:r>
      <w:r w:rsidR="00071CC7">
        <w:rPr>
          <w:rFonts w:cstheme="minorHAnsi"/>
        </w:rPr>
        <w:t>highlighted</w:t>
      </w:r>
      <w:r w:rsidRPr="00390445">
        <w:rPr>
          <w:rFonts w:cstheme="minorHAnsi"/>
        </w:rPr>
        <w:t xml:space="preserve"> the industry’s development of sophisticated statistical methodologies</w:t>
      </w:r>
      <w:r w:rsidR="00F22B0E">
        <w:rPr>
          <w:rFonts w:cstheme="minorHAnsi"/>
        </w:rPr>
        <w:t xml:space="preserve"> </w:t>
      </w:r>
      <w:r w:rsidRPr="00390445">
        <w:rPr>
          <w:rFonts w:cstheme="minorHAnsi"/>
        </w:rPr>
        <w:t>for identifying problematic play</w:t>
      </w:r>
      <w:r w:rsidR="005F6651">
        <w:rPr>
          <w:rFonts w:cstheme="minorHAnsi"/>
        </w:rPr>
        <w:t>.</w:t>
      </w:r>
      <w:r w:rsidR="00F22B0E">
        <w:rPr>
          <w:rFonts w:cstheme="minorHAnsi"/>
        </w:rPr>
        <w:t xml:space="preserve"> </w:t>
      </w:r>
      <w:r w:rsidR="005F6651">
        <w:rPr>
          <w:rFonts w:cstheme="minorHAnsi"/>
        </w:rPr>
        <w:t>It also s</w:t>
      </w:r>
      <w:r>
        <w:rPr>
          <w:rFonts w:cstheme="minorHAnsi"/>
        </w:rPr>
        <w:t>uggest</w:t>
      </w:r>
      <w:r w:rsidR="005F6651">
        <w:rPr>
          <w:rFonts w:cstheme="minorHAnsi"/>
        </w:rPr>
        <w:t>s</w:t>
      </w:r>
      <w:r w:rsidR="00F22B0E">
        <w:rPr>
          <w:rFonts w:cstheme="minorHAnsi"/>
        </w:rPr>
        <w:t xml:space="preserve"> </w:t>
      </w:r>
      <w:r w:rsidRPr="00390445">
        <w:rPr>
          <w:rFonts w:cstheme="minorHAnsi"/>
        </w:rPr>
        <w:t xml:space="preserve">that these </w:t>
      </w:r>
      <w:r w:rsidR="00186295">
        <w:rPr>
          <w:rFonts w:cstheme="minorHAnsi"/>
        </w:rPr>
        <w:t>can</w:t>
      </w:r>
      <w:r w:rsidRPr="00390445">
        <w:rPr>
          <w:rFonts w:cstheme="minorHAnsi"/>
        </w:rPr>
        <w:t xml:space="preserve"> </w:t>
      </w:r>
      <w:r w:rsidRPr="00390445">
        <w:rPr>
          <w:rFonts w:cstheme="minorHAnsi"/>
          <w:i/>
        </w:rPr>
        <w:t>‘mask fundamental weaknesses’</w:t>
      </w:r>
      <w:r w:rsidR="00F22B0E">
        <w:rPr>
          <w:rFonts w:cstheme="minorHAnsi"/>
          <w:i/>
        </w:rPr>
        <w:t xml:space="preserve"> </w:t>
      </w:r>
      <w:r w:rsidR="005F6651">
        <w:rPr>
          <w:rFonts w:cstheme="minorHAnsi"/>
        </w:rPr>
        <w:t>e.g.</w:t>
      </w:r>
      <w:r w:rsidRPr="00390445">
        <w:rPr>
          <w:rFonts w:cstheme="minorHAnsi"/>
        </w:rPr>
        <w:t xml:space="preserve"> the setting of thresholds too low to detect </w:t>
      </w:r>
      <w:r w:rsidR="005F6651">
        <w:rPr>
          <w:rFonts w:cstheme="minorHAnsi"/>
        </w:rPr>
        <w:t>some severe cases (and, we would add, the full extent of harm amongst ‘at-risk’ consumers). W</w:t>
      </w:r>
      <w:r>
        <w:rPr>
          <w:rFonts w:cstheme="minorHAnsi"/>
        </w:rPr>
        <w:t xml:space="preserve">e share this concern, given that it may provide, for some operators, a justification for focusing on a ‘minority’ of consumers. </w:t>
      </w:r>
      <w:r w:rsidR="00F22B0E">
        <w:rPr>
          <w:rFonts w:cstheme="minorHAnsi"/>
        </w:rPr>
        <w:t xml:space="preserve"> </w:t>
      </w:r>
      <w:r>
        <w:t xml:space="preserve">Furthermore, </w:t>
      </w:r>
      <w:r>
        <w:rPr>
          <w:rFonts w:cstheme="minorHAnsi"/>
        </w:rPr>
        <w:t>i</w:t>
      </w:r>
      <w:r w:rsidR="003E326D">
        <w:rPr>
          <w:rFonts w:cstheme="minorHAnsi"/>
        </w:rPr>
        <w:t>t is possible that t</w:t>
      </w:r>
      <w:r w:rsidR="004D1244">
        <w:rPr>
          <w:rFonts w:cstheme="minorHAnsi"/>
        </w:rPr>
        <w:t xml:space="preserve">his underestimation </w:t>
      </w:r>
      <w:r w:rsidR="003E326D">
        <w:rPr>
          <w:rFonts w:cstheme="minorHAnsi"/>
        </w:rPr>
        <w:t xml:space="preserve">may, in part, </w:t>
      </w:r>
      <w:r w:rsidR="004D1244">
        <w:rPr>
          <w:rFonts w:cstheme="minorHAnsi"/>
        </w:rPr>
        <w:t>have contributed to the persistent shortfall in the industry’s total voluntary contribution to GambleAware.</w:t>
      </w:r>
    </w:p>
    <w:p w:rsidR="004D1244" w:rsidRDefault="004D1244" w:rsidP="00146D7C">
      <w:pPr>
        <w:pStyle w:val="ListParagraph"/>
        <w:spacing w:after="0" w:line="240" w:lineRule="auto"/>
        <w:ind w:left="425"/>
        <w:contextualSpacing w:val="0"/>
        <w:jc w:val="both"/>
        <w:rPr>
          <w:rFonts w:cstheme="minorHAnsi"/>
        </w:rPr>
      </w:pPr>
    </w:p>
    <w:p w:rsidR="00524D79" w:rsidRPr="005222F9" w:rsidRDefault="00BE042A" w:rsidP="00146D7C">
      <w:pPr>
        <w:pStyle w:val="ListParagraph"/>
        <w:spacing w:after="0" w:line="240" w:lineRule="auto"/>
        <w:ind w:left="425"/>
        <w:contextualSpacing w:val="0"/>
        <w:jc w:val="both"/>
        <w:rPr>
          <w:rFonts w:cstheme="minorHAnsi"/>
        </w:rPr>
      </w:pPr>
      <w:r>
        <w:rPr>
          <w:rFonts w:cstheme="minorHAnsi"/>
        </w:rPr>
        <w:t>By contrast, we</w:t>
      </w:r>
      <w:r w:rsidR="00524D79">
        <w:rPr>
          <w:rFonts w:cstheme="minorHAnsi"/>
        </w:rPr>
        <w:t xml:space="preserve"> are pleased to note the framework for m</w:t>
      </w:r>
      <w:r>
        <w:rPr>
          <w:rFonts w:cstheme="minorHAnsi"/>
        </w:rPr>
        <w:t>easuring gambling-related harms</w:t>
      </w:r>
      <w:r w:rsidR="003E038C">
        <w:rPr>
          <w:rFonts w:cstheme="minorHAnsi"/>
        </w:rPr>
        <w:t xml:space="preserve"> highlighted </w:t>
      </w:r>
      <w:bookmarkStart w:id="0" w:name="_GoBack"/>
      <w:bookmarkEnd w:id="0"/>
      <w:r>
        <w:rPr>
          <w:rFonts w:cstheme="minorHAnsi"/>
        </w:rPr>
        <w:t>in its proposed definition</w:t>
      </w:r>
      <w:r w:rsidR="00524D79">
        <w:rPr>
          <w:rFonts w:cstheme="minorHAnsi"/>
        </w:rPr>
        <w:t xml:space="preserve"> ‘</w:t>
      </w:r>
      <w:r w:rsidR="00524D79" w:rsidRPr="00524D79">
        <w:rPr>
          <w:rFonts w:cstheme="minorHAnsi"/>
          <w:i/>
        </w:rPr>
        <w:t>the</w:t>
      </w:r>
      <w:r w:rsidR="00F22B0E">
        <w:rPr>
          <w:rFonts w:cstheme="minorHAnsi"/>
          <w:i/>
        </w:rPr>
        <w:t xml:space="preserve"> </w:t>
      </w:r>
      <w:r w:rsidR="00524D79" w:rsidRPr="00524D79">
        <w:rPr>
          <w:rFonts w:cstheme="minorHAnsi"/>
          <w:i/>
        </w:rPr>
        <w:t>adverse impacts..</w:t>
      </w:r>
      <w:r w:rsidR="00524D79">
        <w:rPr>
          <w:rFonts w:cstheme="minorHAnsi"/>
          <w:i/>
        </w:rPr>
        <w:t>.</w:t>
      </w:r>
      <w:r w:rsidR="00524D79" w:rsidRPr="00524D79">
        <w:rPr>
          <w:rFonts w:cstheme="minorHAnsi"/>
          <w:i/>
        </w:rPr>
        <w:t>on the health and wellbeing of individuals, families, communities and society</w:t>
      </w:r>
      <w:r w:rsidR="00524D79">
        <w:rPr>
          <w:rFonts w:cstheme="minorHAnsi"/>
          <w:i/>
        </w:rPr>
        <w:t>’</w:t>
      </w:r>
      <w:r w:rsidR="0038705E">
        <w:rPr>
          <w:rFonts w:cstheme="minorHAnsi"/>
          <w:i/>
        </w:rPr>
        <w:t xml:space="preserve">, </w:t>
      </w:r>
      <w:r w:rsidR="00F22B0E">
        <w:rPr>
          <w:rFonts w:cstheme="minorHAnsi"/>
        </w:rPr>
        <w:t>and that</w:t>
      </w:r>
      <w:r w:rsidR="005222F9" w:rsidRPr="005222F9">
        <w:rPr>
          <w:rFonts w:cstheme="minorHAnsi"/>
        </w:rPr>
        <w:t xml:space="preserve"> its</w:t>
      </w:r>
      <w:r w:rsidR="00AA2440" w:rsidRPr="005222F9">
        <w:rPr>
          <w:rFonts w:cstheme="minorHAnsi"/>
        </w:rPr>
        <w:t xml:space="preserve"> socio-ecological model focuses on the complex, dynamic, and interrelated nature of harms in terms of resources, relationships and health</w:t>
      </w:r>
      <w:r w:rsidR="0038705E" w:rsidRPr="00BC7DA3">
        <w:rPr>
          <w:rFonts w:cstheme="minorHAnsi"/>
          <w:i/>
        </w:rPr>
        <w:t>.</w:t>
      </w:r>
      <w:r w:rsidR="00524D79" w:rsidRPr="00BC7DA3">
        <w:rPr>
          <w:rStyle w:val="FootnoteReference"/>
          <w:rFonts w:cstheme="minorHAnsi"/>
          <w:i/>
        </w:rPr>
        <w:footnoteReference w:id="5"/>
      </w:r>
    </w:p>
    <w:p w:rsidR="00785427" w:rsidRDefault="000F6E86" w:rsidP="00146D7C">
      <w:pPr>
        <w:pStyle w:val="ListParagraph"/>
        <w:spacing w:after="0" w:line="240" w:lineRule="auto"/>
        <w:ind w:left="425"/>
        <w:contextualSpacing w:val="0"/>
        <w:jc w:val="both"/>
        <w:rPr>
          <w:rFonts w:cstheme="minorHAnsi"/>
        </w:rPr>
      </w:pPr>
      <w:r>
        <w:rPr>
          <w:rFonts w:cstheme="minorHAnsi"/>
        </w:rPr>
        <w:lastRenderedPageBreak/>
        <w:t>In the wider population,</w:t>
      </w:r>
      <w:r w:rsidR="00186295">
        <w:rPr>
          <w:rFonts w:cstheme="minorHAnsi"/>
        </w:rPr>
        <w:t xml:space="preserve"> </w:t>
      </w:r>
      <w:r w:rsidR="00785427">
        <w:rPr>
          <w:rFonts w:cstheme="minorHAnsi"/>
        </w:rPr>
        <w:t>a much larger number of people will experience, or be at risk of experiencing, gambling-related harms, including children and young people</w:t>
      </w:r>
      <w:r w:rsidR="008F09FF">
        <w:rPr>
          <w:rFonts w:cstheme="minorHAnsi"/>
        </w:rPr>
        <w:t xml:space="preserve"> and vulnerable adults</w:t>
      </w:r>
      <w:r w:rsidR="00785427">
        <w:rPr>
          <w:rFonts w:cstheme="minorHAnsi"/>
        </w:rPr>
        <w:t>.  Some of these will gam</w:t>
      </w:r>
      <w:r>
        <w:rPr>
          <w:rFonts w:cstheme="minorHAnsi"/>
        </w:rPr>
        <w:t>ble briefly and/or episodically and will not be included in industry statistics. D</w:t>
      </w:r>
      <w:r w:rsidR="00785427">
        <w:rPr>
          <w:rFonts w:cstheme="minorHAnsi"/>
        </w:rPr>
        <w:t xml:space="preserve">enial, shame and other factors mean that many </w:t>
      </w:r>
      <w:r>
        <w:rPr>
          <w:rFonts w:cstheme="minorHAnsi"/>
        </w:rPr>
        <w:t xml:space="preserve">do </w:t>
      </w:r>
      <w:r w:rsidR="00785427">
        <w:rPr>
          <w:rFonts w:cstheme="minorHAnsi"/>
        </w:rPr>
        <w:t>not seek help, whilst it is understood that such harms can endure over the longer-term:</w:t>
      </w:r>
    </w:p>
    <w:p w:rsidR="007F4BA2" w:rsidRDefault="007F4BA2" w:rsidP="00146D7C">
      <w:pPr>
        <w:pStyle w:val="ListParagraph"/>
        <w:spacing w:after="0" w:line="240" w:lineRule="auto"/>
        <w:ind w:left="425"/>
        <w:contextualSpacing w:val="0"/>
        <w:jc w:val="both"/>
        <w:rPr>
          <w:rFonts w:cstheme="minorHAnsi"/>
        </w:rPr>
      </w:pPr>
    </w:p>
    <w:p w:rsidR="00B022F9" w:rsidRPr="00AB1595" w:rsidRDefault="009D1FC9" w:rsidP="00D13DEB">
      <w:pPr>
        <w:pStyle w:val="Default"/>
        <w:ind w:left="709"/>
        <w:rPr>
          <w:rFonts w:asciiTheme="minorHAnsi" w:hAnsiTheme="minorHAnsi" w:cstheme="minorHAnsi"/>
          <w:i/>
          <w:color w:val="auto"/>
          <w:sz w:val="22"/>
          <w:szCs w:val="22"/>
        </w:rPr>
      </w:pPr>
      <w:r w:rsidRPr="00AB1595">
        <w:rPr>
          <w:rFonts w:asciiTheme="minorHAnsi" w:hAnsiTheme="minorHAnsi" w:cstheme="minorHAnsi"/>
          <w:i/>
          <w:color w:val="auto"/>
          <w:sz w:val="22"/>
          <w:szCs w:val="22"/>
        </w:rPr>
        <w:t xml:space="preserve"> </w:t>
      </w:r>
      <w:r w:rsidR="00B022F9" w:rsidRPr="00AB1595">
        <w:rPr>
          <w:rFonts w:asciiTheme="minorHAnsi" w:hAnsiTheme="minorHAnsi" w:cstheme="minorHAnsi"/>
          <w:i/>
          <w:color w:val="auto"/>
          <w:sz w:val="22"/>
          <w:szCs w:val="22"/>
        </w:rPr>
        <w:t>‘The harmful effects from gambling may be short-lived but can persist, having longer-term and enduring consequences that can exa</w:t>
      </w:r>
      <w:r w:rsidR="00B022F9">
        <w:rPr>
          <w:rFonts w:asciiTheme="minorHAnsi" w:hAnsiTheme="minorHAnsi" w:cstheme="minorHAnsi"/>
          <w:i/>
          <w:color w:val="auto"/>
          <w:sz w:val="22"/>
          <w:szCs w:val="22"/>
        </w:rPr>
        <w:t>cerbate existing inequalities.’</w:t>
      </w:r>
      <w:r w:rsidR="00B022F9">
        <w:rPr>
          <w:rStyle w:val="FootnoteReference"/>
          <w:rFonts w:asciiTheme="minorHAnsi" w:hAnsiTheme="minorHAnsi" w:cstheme="minorHAnsi"/>
          <w:i/>
          <w:color w:val="auto"/>
          <w:sz w:val="22"/>
          <w:szCs w:val="22"/>
        </w:rPr>
        <w:footnoteReference w:id="6"/>
      </w:r>
    </w:p>
    <w:p w:rsidR="00785427" w:rsidRDefault="00785427" w:rsidP="00D13DEB">
      <w:pPr>
        <w:pStyle w:val="ListParagraph"/>
        <w:spacing w:after="0" w:line="240" w:lineRule="auto"/>
        <w:ind w:left="709"/>
        <w:contextualSpacing w:val="0"/>
        <w:rPr>
          <w:rFonts w:cstheme="minorHAnsi"/>
        </w:rPr>
      </w:pPr>
    </w:p>
    <w:p w:rsidR="00785427" w:rsidRDefault="00785427" w:rsidP="00D13DEB">
      <w:pPr>
        <w:pStyle w:val="ListParagraph"/>
        <w:spacing w:after="0" w:line="240" w:lineRule="auto"/>
        <w:ind w:left="709"/>
        <w:contextualSpacing w:val="0"/>
        <w:rPr>
          <w:rFonts w:cstheme="minorHAnsi"/>
        </w:rPr>
      </w:pPr>
      <w:r>
        <w:rPr>
          <w:rFonts w:cstheme="minorHAnsi"/>
          <w:i/>
        </w:rPr>
        <w:t xml:space="preserve">‘[There is} </w:t>
      </w:r>
      <w:r w:rsidRPr="00FC3E48">
        <w:rPr>
          <w:rFonts w:cstheme="minorHAnsi"/>
          <w:i/>
        </w:rPr>
        <w:t>a profound silence surrounding gambling behaviours and an unwillingness among young men to discuss their gambling practices, let a</w:t>
      </w:r>
      <w:r>
        <w:rPr>
          <w:rFonts w:cstheme="minorHAnsi"/>
          <w:i/>
        </w:rPr>
        <w:t>lone admit to having a ‘problem</w:t>
      </w:r>
      <w:r w:rsidR="00186295">
        <w:rPr>
          <w:rFonts w:cstheme="minorHAnsi"/>
          <w:i/>
        </w:rPr>
        <w:t>’</w:t>
      </w:r>
      <w:r>
        <w:rPr>
          <w:rFonts w:cstheme="minorHAnsi"/>
          <w:i/>
        </w:rPr>
        <w:t>.’</w:t>
      </w:r>
      <w:r>
        <w:rPr>
          <w:rStyle w:val="FootnoteReference"/>
          <w:rFonts w:cstheme="minorHAnsi"/>
        </w:rPr>
        <w:footnoteReference w:id="7"/>
      </w:r>
    </w:p>
    <w:p w:rsidR="00785427" w:rsidRDefault="00785427" w:rsidP="00785427">
      <w:pPr>
        <w:pStyle w:val="ListParagraph"/>
        <w:spacing w:after="0" w:line="240" w:lineRule="auto"/>
        <w:ind w:left="425"/>
        <w:contextualSpacing w:val="0"/>
        <w:rPr>
          <w:rFonts w:cstheme="minorHAnsi"/>
        </w:rPr>
      </w:pPr>
    </w:p>
    <w:p w:rsidR="00940597" w:rsidRDefault="0020445B" w:rsidP="00146D7C">
      <w:pPr>
        <w:pStyle w:val="ListParagraph"/>
        <w:spacing w:after="0" w:line="240" w:lineRule="auto"/>
        <w:ind w:left="425"/>
        <w:contextualSpacing w:val="0"/>
        <w:jc w:val="both"/>
        <w:rPr>
          <w:rFonts w:cstheme="minorHAnsi"/>
        </w:rPr>
      </w:pPr>
      <w:r>
        <w:rPr>
          <w:rFonts w:cstheme="minorHAnsi"/>
        </w:rPr>
        <w:t>In its guidance for local councils</w:t>
      </w:r>
      <w:r>
        <w:rPr>
          <w:rStyle w:val="FootnoteReference"/>
          <w:rFonts w:cstheme="minorHAnsi"/>
        </w:rPr>
        <w:footnoteReference w:id="8"/>
      </w:r>
      <w:r w:rsidR="00F22B0E">
        <w:rPr>
          <w:rFonts w:cstheme="minorHAnsi"/>
        </w:rPr>
        <w:t xml:space="preserve">, </w:t>
      </w:r>
      <w:r>
        <w:rPr>
          <w:rFonts w:cstheme="minorHAnsi"/>
        </w:rPr>
        <w:t>the Local Governm</w:t>
      </w:r>
      <w:r w:rsidR="00822439">
        <w:rPr>
          <w:rFonts w:cstheme="minorHAnsi"/>
        </w:rPr>
        <w:t xml:space="preserve">ent Association quotes findings </w:t>
      </w:r>
      <w:r>
        <w:rPr>
          <w:rFonts w:cstheme="minorHAnsi"/>
        </w:rPr>
        <w:t>from Citizens Advice</w:t>
      </w:r>
      <w:r w:rsidR="00873D20">
        <w:rPr>
          <w:rFonts w:cstheme="minorHAnsi"/>
        </w:rPr>
        <w:t xml:space="preserve"> which</w:t>
      </w:r>
      <w:r>
        <w:rPr>
          <w:rFonts w:cstheme="minorHAnsi"/>
        </w:rPr>
        <w:t xml:space="preserve"> reported research</w:t>
      </w:r>
      <w:r w:rsidR="00186295">
        <w:rPr>
          <w:rFonts w:cstheme="minorHAnsi"/>
        </w:rPr>
        <w:t xml:space="preserve"> </w:t>
      </w:r>
      <w:r>
        <w:rPr>
          <w:rFonts w:cstheme="minorHAnsi"/>
        </w:rPr>
        <w:t xml:space="preserve">that </w:t>
      </w:r>
      <w:r w:rsidR="00186295">
        <w:rPr>
          <w:rFonts w:cstheme="minorHAnsi"/>
        </w:rPr>
        <w:t xml:space="preserve">found </w:t>
      </w:r>
      <w:r>
        <w:rPr>
          <w:rFonts w:cstheme="minorHAnsi"/>
        </w:rPr>
        <w:t xml:space="preserve">between six and 10 people i.e. </w:t>
      </w:r>
      <w:r w:rsidRPr="00822439">
        <w:rPr>
          <w:rFonts w:cstheme="minorHAnsi"/>
          <w:i/>
        </w:rPr>
        <w:t>a potential 2.5</w:t>
      </w:r>
      <w:r w:rsidR="00D13DEB" w:rsidRPr="00822439">
        <w:rPr>
          <w:rFonts w:cstheme="minorHAnsi"/>
          <w:i/>
        </w:rPr>
        <w:t>m</w:t>
      </w:r>
      <w:r w:rsidRPr="00822439">
        <w:rPr>
          <w:rFonts w:cstheme="minorHAnsi"/>
          <w:i/>
        </w:rPr>
        <w:t xml:space="preserve"> – 4.3</w:t>
      </w:r>
      <w:r w:rsidR="00D13DEB" w:rsidRPr="00822439">
        <w:rPr>
          <w:rFonts w:cstheme="minorHAnsi"/>
          <w:i/>
        </w:rPr>
        <w:t>m</w:t>
      </w:r>
      <w:r w:rsidR="00F22B0E">
        <w:rPr>
          <w:rFonts w:cstheme="minorHAnsi"/>
          <w:i/>
        </w:rPr>
        <w:t xml:space="preserve"> </w:t>
      </w:r>
      <w:r w:rsidRPr="00822439">
        <w:rPr>
          <w:rFonts w:cstheme="minorHAnsi"/>
          <w:i/>
        </w:rPr>
        <w:t xml:space="preserve">people </w:t>
      </w:r>
      <w:r>
        <w:rPr>
          <w:rFonts w:cstheme="minorHAnsi"/>
        </w:rPr>
        <w:t>are directly affected by a single problem gambler</w:t>
      </w:r>
      <w:r w:rsidR="00186295">
        <w:rPr>
          <w:rStyle w:val="FootnoteReference"/>
          <w:rFonts w:cstheme="minorHAnsi"/>
        </w:rPr>
        <w:footnoteReference w:id="9"/>
      </w:r>
      <w:r w:rsidR="00BC7CA4">
        <w:rPr>
          <w:rFonts w:cstheme="minorHAnsi"/>
        </w:rPr>
        <w:t>.</w:t>
      </w:r>
      <w:r w:rsidR="00F22B0E">
        <w:rPr>
          <w:rFonts w:cstheme="minorHAnsi"/>
        </w:rPr>
        <w:t xml:space="preserve">  </w:t>
      </w:r>
    </w:p>
    <w:p w:rsidR="00940597" w:rsidRDefault="00940597" w:rsidP="00146D7C">
      <w:pPr>
        <w:pStyle w:val="ListParagraph"/>
        <w:spacing w:after="0" w:line="240" w:lineRule="auto"/>
        <w:ind w:left="425"/>
        <w:contextualSpacing w:val="0"/>
        <w:jc w:val="both"/>
        <w:rPr>
          <w:rFonts w:cstheme="minorHAnsi"/>
        </w:rPr>
      </w:pPr>
    </w:p>
    <w:p w:rsidR="00146D7C" w:rsidRPr="000155EA" w:rsidRDefault="004D1244" w:rsidP="00146D7C">
      <w:pPr>
        <w:pStyle w:val="ListParagraph"/>
        <w:spacing w:after="0" w:line="240" w:lineRule="auto"/>
        <w:ind w:left="425"/>
        <w:contextualSpacing w:val="0"/>
        <w:jc w:val="both"/>
        <w:rPr>
          <w:rFonts w:cstheme="minorHAnsi"/>
          <w:i/>
        </w:rPr>
      </w:pPr>
      <w:r w:rsidRPr="00F445C0">
        <w:rPr>
          <w:rFonts w:cstheme="minorHAnsi"/>
        </w:rPr>
        <w:t>W</w:t>
      </w:r>
      <w:r w:rsidR="00F445C0">
        <w:rPr>
          <w:rFonts w:cstheme="minorHAnsi"/>
        </w:rPr>
        <w:t>e were</w:t>
      </w:r>
      <w:r w:rsidR="00F445C0" w:rsidRPr="00F445C0">
        <w:rPr>
          <w:rFonts w:cstheme="minorHAnsi"/>
        </w:rPr>
        <w:t xml:space="preserve"> interested to read </w:t>
      </w:r>
      <w:r w:rsidR="00E76F89">
        <w:rPr>
          <w:rFonts w:cstheme="minorHAnsi"/>
        </w:rPr>
        <w:t>the GambleAware-</w:t>
      </w:r>
      <w:r w:rsidR="00F445C0">
        <w:rPr>
          <w:rFonts w:cstheme="minorHAnsi"/>
        </w:rPr>
        <w:t xml:space="preserve">funded </w:t>
      </w:r>
      <w:r w:rsidR="00F445C0" w:rsidRPr="00F445C0">
        <w:rPr>
          <w:rFonts w:cstheme="minorHAnsi"/>
        </w:rPr>
        <w:t>research by academics at Sheffield Hallam University</w:t>
      </w:r>
      <w:r w:rsidR="00F445C0">
        <w:rPr>
          <w:rStyle w:val="FootnoteReference"/>
          <w:rFonts w:cstheme="minorHAnsi"/>
        </w:rPr>
        <w:footnoteReference w:id="10"/>
      </w:r>
      <w:r w:rsidR="00F445C0">
        <w:rPr>
          <w:rFonts w:cstheme="minorHAnsi"/>
        </w:rPr>
        <w:t>, providing as it does</w:t>
      </w:r>
      <w:r w:rsidR="000A45E6">
        <w:rPr>
          <w:rFonts w:cstheme="minorHAnsi"/>
        </w:rPr>
        <w:t xml:space="preserve"> valuable insight into the range and nature of harms experienced by </w:t>
      </w:r>
      <w:r w:rsidR="00F445C0">
        <w:rPr>
          <w:rFonts w:cstheme="minorHAnsi"/>
        </w:rPr>
        <w:t>close others</w:t>
      </w:r>
      <w:r w:rsidR="000A45E6">
        <w:rPr>
          <w:rFonts w:cstheme="minorHAnsi"/>
        </w:rPr>
        <w:t xml:space="preserve">. </w:t>
      </w:r>
      <w:r w:rsidR="00146D7C">
        <w:rPr>
          <w:rFonts w:cstheme="minorHAnsi"/>
        </w:rPr>
        <w:t>It highlights both the</w:t>
      </w:r>
      <w:r w:rsidR="000A45E6">
        <w:rPr>
          <w:rFonts w:cstheme="minorHAnsi"/>
        </w:rPr>
        <w:t xml:space="preserve"> serious</w:t>
      </w:r>
      <w:r w:rsidR="00146D7C">
        <w:rPr>
          <w:rFonts w:cstheme="minorHAnsi"/>
        </w:rPr>
        <w:t xml:space="preserve"> and multiple</w:t>
      </w:r>
      <w:r w:rsidR="000A45E6">
        <w:rPr>
          <w:rFonts w:cstheme="minorHAnsi"/>
        </w:rPr>
        <w:t xml:space="preserve"> impacts and the need to address their need for support, including overcoming the not inconsiderable barriers to </w:t>
      </w:r>
      <w:r w:rsidR="00BC7DA3">
        <w:rPr>
          <w:rFonts w:cstheme="minorHAnsi"/>
        </w:rPr>
        <w:t xml:space="preserve">their </w:t>
      </w:r>
      <w:r>
        <w:rPr>
          <w:rFonts w:cstheme="minorHAnsi"/>
        </w:rPr>
        <w:t>doing so.</w:t>
      </w:r>
      <w:r w:rsidR="00794E12">
        <w:rPr>
          <w:rFonts w:cstheme="minorHAnsi"/>
        </w:rPr>
        <w:t xml:space="preserve"> The authors refer to a ‘</w:t>
      </w:r>
      <w:r w:rsidR="00794E12" w:rsidRPr="00794E12">
        <w:rPr>
          <w:rFonts w:cstheme="minorHAnsi"/>
          <w:i/>
        </w:rPr>
        <w:t>dearth of</w:t>
      </w:r>
      <w:r w:rsidR="004102B3">
        <w:rPr>
          <w:rFonts w:cstheme="minorHAnsi"/>
          <w:i/>
        </w:rPr>
        <w:t xml:space="preserve"> </w:t>
      </w:r>
      <w:r w:rsidR="00794E12" w:rsidRPr="00794E12">
        <w:rPr>
          <w:rFonts w:cstheme="minorHAnsi"/>
          <w:i/>
        </w:rPr>
        <w:t>UK specific research’</w:t>
      </w:r>
      <w:r w:rsidR="00794E12">
        <w:rPr>
          <w:rFonts w:cstheme="minorHAnsi"/>
        </w:rPr>
        <w:t xml:space="preserve"> regarding the impact on close others, and w</w:t>
      </w:r>
      <w:r w:rsidR="00F445C0">
        <w:rPr>
          <w:rFonts w:cstheme="minorHAnsi"/>
        </w:rPr>
        <w:t xml:space="preserve">e </w:t>
      </w:r>
      <w:r w:rsidR="00146D7C">
        <w:rPr>
          <w:rFonts w:cstheme="minorHAnsi"/>
        </w:rPr>
        <w:t>are pleased to note that this aspect of harm has been included</w:t>
      </w:r>
      <w:r w:rsidR="00BC7DA3">
        <w:rPr>
          <w:rFonts w:cstheme="minorHAnsi"/>
        </w:rPr>
        <w:t xml:space="preserve"> in</w:t>
      </w:r>
      <w:r w:rsidR="00146D7C">
        <w:rPr>
          <w:rFonts w:cstheme="minorHAnsi"/>
        </w:rPr>
        <w:t xml:space="preserve"> the framework.</w:t>
      </w:r>
    </w:p>
    <w:p w:rsidR="000A45E6" w:rsidRDefault="000A45E6" w:rsidP="00EB2B19">
      <w:pPr>
        <w:pStyle w:val="ListParagraph"/>
        <w:spacing w:after="0" w:line="240" w:lineRule="auto"/>
        <w:ind w:left="425"/>
        <w:contextualSpacing w:val="0"/>
        <w:rPr>
          <w:rFonts w:cstheme="minorHAnsi"/>
          <w:highlight w:val="yellow"/>
        </w:rPr>
      </w:pPr>
    </w:p>
    <w:p w:rsidR="00E66A33" w:rsidRPr="00E66A33" w:rsidRDefault="00E66A33" w:rsidP="00F22B0E">
      <w:pPr>
        <w:pStyle w:val="ListParagraph"/>
        <w:spacing w:after="0" w:line="240" w:lineRule="auto"/>
        <w:ind w:left="425"/>
        <w:contextualSpacing w:val="0"/>
        <w:jc w:val="both"/>
        <w:rPr>
          <w:rFonts w:cstheme="minorHAnsi"/>
        </w:rPr>
      </w:pPr>
      <w:r w:rsidRPr="00E66A33">
        <w:rPr>
          <w:rFonts w:cstheme="minorHAnsi"/>
        </w:rPr>
        <w:t>We would like to reiterate the recommendation included in our response to the Year 2 Review concerning the publication of data on the ‘p</w:t>
      </w:r>
      <w:r w:rsidR="00186295">
        <w:rPr>
          <w:rFonts w:cstheme="minorHAnsi"/>
        </w:rPr>
        <w:t xml:space="preserve">rimary mode of gambling’, as is done </w:t>
      </w:r>
      <w:r w:rsidRPr="00E66A33">
        <w:rPr>
          <w:rFonts w:cstheme="minorHAnsi"/>
        </w:rPr>
        <w:t xml:space="preserve">for substance misuse. </w:t>
      </w:r>
      <w:r w:rsidR="00E50A6B">
        <w:rPr>
          <w:rFonts w:cstheme="minorHAnsi"/>
        </w:rPr>
        <w:t xml:space="preserve"> </w:t>
      </w:r>
      <w:r w:rsidRPr="00E66A33">
        <w:rPr>
          <w:rFonts w:cstheme="minorHAnsi"/>
        </w:rPr>
        <w:t>Were this to be made available, we believe that it would help to strengthen research in this area and contribute to awareness-raising initiatives and public health information.</w:t>
      </w:r>
    </w:p>
    <w:p w:rsidR="00E66A33" w:rsidRDefault="00E66A33" w:rsidP="00F22B0E">
      <w:pPr>
        <w:pStyle w:val="ListParagraph"/>
        <w:spacing w:after="0" w:line="240" w:lineRule="auto"/>
        <w:ind w:left="425"/>
        <w:contextualSpacing w:val="0"/>
        <w:jc w:val="both"/>
        <w:rPr>
          <w:rFonts w:cstheme="minorHAnsi"/>
          <w:highlight w:val="yellow"/>
        </w:rPr>
      </w:pPr>
    </w:p>
    <w:p w:rsidR="00AB1595" w:rsidRDefault="008A0F95" w:rsidP="00F22B0E">
      <w:pPr>
        <w:pStyle w:val="ListParagraph"/>
        <w:spacing w:after="0" w:line="240" w:lineRule="auto"/>
        <w:ind w:left="425"/>
        <w:contextualSpacing w:val="0"/>
        <w:jc w:val="both"/>
        <w:rPr>
          <w:rFonts w:cstheme="minorHAnsi"/>
        </w:rPr>
      </w:pPr>
      <w:r>
        <w:rPr>
          <w:rFonts w:cstheme="minorHAnsi"/>
        </w:rPr>
        <w:t>We note that ‘Patterns of Play’ is one of the Gambling Commission’s Research Programme’s core research themes</w:t>
      </w:r>
      <w:r w:rsidR="00597EBC">
        <w:rPr>
          <w:rStyle w:val="FootnoteReference"/>
          <w:rFonts w:cstheme="minorHAnsi"/>
        </w:rPr>
        <w:footnoteReference w:id="11"/>
      </w:r>
      <w:r>
        <w:rPr>
          <w:rFonts w:cstheme="minorHAnsi"/>
        </w:rPr>
        <w:t>.</w:t>
      </w:r>
      <w:r w:rsidR="00F22B0E">
        <w:rPr>
          <w:rFonts w:cstheme="minorHAnsi"/>
        </w:rPr>
        <w:t xml:space="preserve">  </w:t>
      </w:r>
      <w:r w:rsidR="00604A77" w:rsidRPr="008A0F95">
        <w:rPr>
          <w:rFonts w:cstheme="minorHAnsi"/>
        </w:rPr>
        <w:t xml:space="preserve">We hope that future research </w:t>
      </w:r>
      <w:r>
        <w:rPr>
          <w:rFonts w:cstheme="minorHAnsi"/>
        </w:rPr>
        <w:t>concerning harms</w:t>
      </w:r>
      <w:r w:rsidR="00F22B0E">
        <w:rPr>
          <w:rFonts w:cstheme="minorHAnsi"/>
        </w:rPr>
        <w:t xml:space="preserve"> </w:t>
      </w:r>
      <w:r>
        <w:rPr>
          <w:rFonts w:cstheme="minorHAnsi"/>
        </w:rPr>
        <w:t>is informed by</w:t>
      </w:r>
      <w:r w:rsidR="00604A77" w:rsidRPr="008A0F95">
        <w:rPr>
          <w:rFonts w:cstheme="minorHAnsi"/>
        </w:rPr>
        <w:t xml:space="preserve"> findings </w:t>
      </w:r>
      <w:r w:rsidR="00E66A33" w:rsidRPr="008A0F95">
        <w:rPr>
          <w:rFonts w:cstheme="minorHAnsi"/>
        </w:rPr>
        <w:t>related to</w:t>
      </w:r>
      <w:r w:rsidR="00604A77" w:rsidRPr="008A0F95">
        <w:rPr>
          <w:rFonts w:cstheme="minorHAnsi"/>
        </w:rPr>
        <w:t xml:space="preserve"> product characteristics and environments</w:t>
      </w:r>
      <w:r w:rsidR="000A45E6" w:rsidRPr="008A0F95">
        <w:rPr>
          <w:rFonts w:cstheme="minorHAnsi"/>
        </w:rPr>
        <w:t>, given the contri</w:t>
      </w:r>
      <w:r w:rsidR="00822439">
        <w:rPr>
          <w:rFonts w:cstheme="minorHAnsi"/>
        </w:rPr>
        <w:t>bution each makes to</w:t>
      </w:r>
      <w:r w:rsidR="000A45E6" w:rsidRPr="008A0F95">
        <w:rPr>
          <w:rFonts w:cstheme="minorHAnsi"/>
        </w:rPr>
        <w:t xml:space="preserve"> patterns</w:t>
      </w:r>
      <w:r w:rsidRPr="008A0F95">
        <w:rPr>
          <w:rFonts w:cstheme="minorHAnsi"/>
        </w:rPr>
        <w:t xml:space="preserve"> of play,</w:t>
      </w:r>
      <w:r w:rsidR="000A45E6" w:rsidRPr="008A0F95">
        <w:rPr>
          <w:rFonts w:cstheme="minorHAnsi"/>
        </w:rPr>
        <w:t xml:space="preserve"> behaviours</w:t>
      </w:r>
      <w:r w:rsidRPr="008A0F95">
        <w:rPr>
          <w:rFonts w:cstheme="minorHAnsi"/>
        </w:rPr>
        <w:t xml:space="preserve">, and outcomes. </w:t>
      </w:r>
    </w:p>
    <w:p w:rsidR="00163DF3" w:rsidRDefault="00163DF3" w:rsidP="00F22B0E">
      <w:pPr>
        <w:pStyle w:val="ListParagraph"/>
        <w:spacing w:after="0" w:line="240" w:lineRule="auto"/>
        <w:ind w:left="425"/>
        <w:contextualSpacing w:val="0"/>
        <w:jc w:val="both"/>
        <w:rPr>
          <w:rFonts w:cstheme="minorHAnsi"/>
        </w:rPr>
      </w:pPr>
    </w:p>
    <w:p w:rsidR="00163DF3" w:rsidRPr="00163DF3" w:rsidRDefault="00163DF3" w:rsidP="00163DF3">
      <w:pPr>
        <w:pStyle w:val="ListParagraph"/>
        <w:spacing w:after="0" w:line="240" w:lineRule="auto"/>
        <w:ind w:left="426"/>
        <w:contextualSpacing w:val="0"/>
        <w:jc w:val="both"/>
      </w:pPr>
      <w:r w:rsidRPr="00143D67">
        <w:t>We are also encouraged by</w:t>
      </w:r>
      <w:r>
        <w:t xml:space="preserve"> </w:t>
      </w:r>
      <w:r w:rsidRPr="00143D67">
        <w:t>the newly established Gambling Health Alliance</w:t>
      </w:r>
      <w:r>
        <w:t xml:space="preserve">’s objectives, that it will </w:t>
      </w:r>
      <w:r>
        <w:rPr>
          <w:i/>
        </w:rPr>
        <w:t>‘</w:t>
      </w:r>
      <w:r w:rsidRPr="00143D67">
        <w:rPr>
          <w:i/>
        </w:rPr>
        <w:t>seek to ensure that gambling and the harms which arise from it are placed on an equal footing with other major public health challenges, focussing on prevention, early intervention, and increased community engagement.’</w:t>
      </w:r>
      <w:r>
        <w:rPr>
          <w:rStyle w:val="FootnoteReference"/>
          <w:i/>
        </w:rPr>
        <w:footnoteReference w:id="12"/>
      </w:r>
    </w:p>
    <w:p w:rsidR="0030069B" w:rsidRDefault="0030069B" w:rsidP="0030069B">
      <w:pPr>
        <w:pStyle w:val="ListParagraph"/>
        <w:numPr>
          <w:ilvl w:val="0"/>
          <w:numId w:val="10"/>
        </w:numPr>
        <w:spacing w:after="0" w:line="240" w:lineRule="auto"/>
        <w:ind w:left="426" w:hanging="426"/>
        <w:jc w:val="both"/>
        <w:rPr>
          <w:b/>
        </w:rPr>
      </w:pPr>
      <w:r>
        <w:rPr>
          <w:b/>
        </w:rPr>
        <w:lastRenderedPageBreak/>
        <w:t>PILOTING AND EVALUATION (PA3 AND PA6)</w:t>
      </w:r>
    </w:p>
    <w:p w:rsidR="0030069B" w:rsidRDefault="0030069B" w:rsidP="00E50A6B">
      <w:pPr>
        <w:pStyle w:val="ListParagraph"/>
        <w:spacing w:after="0" w:line="240" w:lineRule="auto"/>
        <w:ind w:left="425"/>
        <w:contextualSpacing w:val="0"/>
        <w:jc w:val="both"/>
      </w:pPr>
      <w:r>
        <w:t xml:space="preserve">We share the </w:t>
      </w:r>
      <w:r w:rsidR="00940597">
        <w:t>mid-term assessment’s</w:t>
      </w:r>
      <w:r>
        <w:t xml:space="preserve"> disappointment regarding the lack of progress in relation to PA3 and PA6.  </w:t>
      </w:r>
      <w:r w:rsidR="00AA3CBB">
        <w:t xml:space="preserve">The former </w:t>
      </w:r>
      <w:r>
        <w:t>has continued to be the weak</w:t>
      </w:r>
      <w:r w:rsidR="003F0ED4">
        <w:t xml:space="preserve">est area of the Strategy. </w:t>
      </w:r>
      <w:r w:rsidR="00E50A6B">
        <w:t xml:space="preserve"> </w:t>
      </w:r>
      <w:r w:rsidR="003F0ED4">
        <w:t>As</w:t>
      </w:r>
      <w:r>
        <w:t xml:space="preserve"> the report points out, there has been little new evaluation work published since April</w:t>
      </w:r>
      <w:r w:rsidR="00822439">
        <w:t xml:space="preserve"> 2018 and much of this has been</w:t>
      </w:r>
      <w:r>
        <w:t xml:space="preserve"> led by GambleAware.  It is obviously of crucial importance to establish what works in harm </w:t>
      </w:r>
      <w:r w:rsidR="00186295">
        <w:t xml:space="preserve">prevention and </w:t>
      </w:r>
      <w:r>
        <w:t>minimisation if future investment in protective measures is to be targeted effectively and efficiently.</w:t>
      </w:r>
    </w:p>
    <w:p w:rsidR="007F4BA2" w:rsidRDefault="007F4BA2" w:rsidP="00E50A6B">
      <w:pPr>
        <w:pStyle w:val="ListParagraph"/>
        <w:spacing w:after="0" w:line="240" w:lineRule="auto"/>
        <w:ind w:left="425"/>
        <w:contextualSpacing w:val="0"/>
        <w:jc w:val="both"/>
      </w:pPr>
    </w:p>
    <w:p w:rsidR="0030069B" w:rsidRDefault="0030069B" w:rsidP="00E50A6B">
      <w:pPr>
        <w:pStyle w:val="ListParagraph"/>
        <w:spacing w:after="0" w:line="240" w:lineRule="auto"/>
        <w:ind w:left="425"/>
        <w:contextualSpacing w:val="0"/>
        <w:jc w:val="both"/>
      </w:pPr>
      <w:r>
        <w:t xml:space="preserve">We appreciate the industry’s commercial sensitivities associated with sharing evaluation findings, and were therefore pleased to note that </w:t>
      </w:r>
      <w:r w:rsidRPr="00534101">
        <w:t>two</w:t>
      </w:r>
      <w:r>
        <w:t xml:space="preserve"> pan-industry collaboration days were held in 2018</w:t>
      </w:r>
      <w:r w:rsidR="00822439">
        <w:t>,</w:t>
      </w:r>
      <w:r>
        <w:t xml:space="preserve"> and that some parts of the industry have (or plan to) run initiatives in this area.  </w:t>
      </w:r>
    </w:p>
    <w:p w:rsidR="0030069B" w:rsidRDefault="0030069B" w:rsidP="0030069B">
      <w:pPr>
        <w:pStyle w:val="ListParagraph"/>
        <w:spacing w:after="0" w:line="240" w:lineRule="auto"/>
        <w:ind w:left="425"/>
        <w:contextualSpacing w:val="0"/>
      </w:pPr>
    </w:p>
    <w:p w:rsidR="0030069B" w:rsidRDefault="0030069B" w:rsidP="0030069B">
      <w:pPr>
        <w:pStyle w:val="ListParagraph"/>
        <w:spacing w:after="0" w:line="240" w:lineRule="auto"/>
        <w:ind w:left="425"/>
        <w:contextualSpacing w:val="0"/>
      </w:pPr>
      <w:r>
        <w:t>RGSB’s Evaluation Protocol</w:t>
      </w:r>
      <w:r>
        <w:rPr>
          <w:rStyle w:val="FootnoteReference"/>
        </w:rPr>
        <w:footnoteReference w:id="13"/>
      </w:r>
      <w:r>
        <w:t xml:space="preserve"> and GambleAware’s guidance on evaluation</w:t>
      </w:r>
      <w:r>
        <w:rPr>
          <w:rStyle w:val="FootnoteReference"/>
        </w:rPr>
        <w:footnoteReference w:id="14"/>
      </w:r>
      <w:r>
        <w:t xml:space="preserve"> each offer clear and helpful advice, but some operators have acknowledged during meetings that they have found it difficult to develop the necessary internal capacity.  </w:t>
      </w:r>
      <w:r w:rsidRPr="00476F83">
        <w:t>As</w:t>
      </w:r>
      <w:r>
        <w:t xml:space="preserve"> the RGSB Year 2 report suggested, it may have been overly ambitious to expect them to do so:</w:t>
      </w:r>
    </w:p>
    <w:p w:rsidR="0030069B" w:rsidRDefault="0030069B" w:rsidP="0030069B">
      <w:pPr>
        <w:pStyle w:val="ListParagraph"/>
        <w:spacing w:after="0" w:line="240" w:lineRule="auto"/>
        <w:ind w:left="425"/>
        <w:contextualSpacing w:val="0"/>
      </w:pPr>
    </w:p>
    <w:p w:rsidR="0030069B" w:rsidRPr="00476F83" w:rsidRDefault="0030069B" w:rsidP="0030069B">
      <w:pPr>
        <w:pStyle w:val="ListParagraph"/>
        <w:spacing w:after="0" w:line="240" w:lineRule="auto"/>
        <w:ind w:left="709"/>
        <w:contextualSpacing w:val="0"/>
        <w:rPr>
          <w:rFonts w:cstheme="minorHAnsi"/>
          <w:i/>
          <w:color w:val="000000"/>
        </w:rPr>
      </w:pPr>
      <w:r>
        <w:rPr>
          <w:rFonts w:cstheme="minorHAnsi"/>
          <w:i/>
          <w:color w:val="000000"/>
        </w:rPr>
        <w:t>‘</w:t>
      </w:r>
      <w:r w:rsidRPr="00476F83">
        <w:rPr>
          <w:rFonts w:cstheme="minorHAnsi"/>
          <w:i/>
          <w:color w:val="000000"/>
        </w:rPr>
        <w:t>In retrospect, it was probably a mistake in the first place to think that operators or their trade</w:t>
      </w:r>
      <w:r w:rsidR="006E798E">
        <w:rPr>
          <w:rFonts w:cstheme="minorHAnsi"/>
          <w:i/>
          <w:color w:val="000000"/>
        </w:rPr>
        <w:t xml:space="preserve"> </w:t>
      </w:r>
      <w:r w:rsidRPr="00476F83">
        <w:rPr>
          <w:rFonts w:cstheme="minorHAnsi"/>
          <w:i/>
          <w:color w:val="000000"/>
        </w:rPr>
        <w:t>associations should be expected to take responsibility for evaluation of their own schemes.</w:t>
      </w:r>
      <w:r>
        <w:rPr>
          <w:rFonts w:cstheme="minorHAnsi"/>
          <w:i/>
          <w:color w:val="000000"/>
        </w:rPr>
        <w:t>’</w:t>
      </w:r>
    </w:p>
    <w:p w:rsidR="0030069B" w:rsidRDefault="0030069B" w:rsidP="0030069B">
      <w:pPr>
        <w:pStyle w:val="ListParagraph"/>
        <w:spacing w:after="0" w:line="240" w:lineRule="auto"/>
        <w:ind w:left="425"/>
        <w:contextualSpacing w:val="0"/>
      </w:pPr>
    </w:p>
    <w:p w:rsidR="0030069B" w:rsidRDefault="0030069B" w:rsidP="0030069B">
      <w:pPr>
        <w:pStyle w:val="ListParagraph"/>
        <w:spacing w:after="0" w:line="240" w:lineRule="auto"/>
        <w:ind w:left="425"/>
        <w:contextualSpacing w:val="0"/>
      </w:pPr>
      <w:r>
        <w:t xml:space="preserve">GambleAware’s guidance highlights the inherent difficulties and potential outcomes of internal evaluations: </w:t>
      </w:r>
    </w:p>
    <w:p w:rsidR="0030069B" w:rsidRDefault="0030069B" w:rsidP="0030069B">
      <w:pPr>
        <w:pStyle w:val="ListParagraph"/>
        <w:tabs>
          <w:tab w:val="left" w:pos="2680"/>
        </w:tabs>
        <w:spacing w:after="0" w:line="240" w:lineRule="auto"/>
        <w:ind w:left="425"/>
        <w:contextualSpacing w:val="0"/>
      </w:pPr>
      <w:r>
        <w:tab/>
      </w:r>
    </w:p>
    <w:p w:rsidR="0030069B" w:rsidRPr="00F50F17" w:rsidRDefault="0030069B" w:rsidP="0030069B">
      <w:pPr>
        <w:pStyle w:val="Default"/>
        <w:ind w:left="709"/>
        <w:jc w:val="both"/>
        <w:rPr>
          <w:rFonts w:asciiTheme="minorHAnsi" w:hAnsiTheme="minorHAnsi" w:cstheme="minorHAnsi"/>
          <w:i/>
          <w:sz w:val="22"/>
          <w:szCs w:val="22"/>
        </w:rPr>
      </w:pPr>
      <w:r>
        <w:rPr>
          <w:rFonts w:asciiTheme="minorHAnsi" w:hAnsiTheme="minorHAnsi" w:cstheme="minorHAnsi"/>
          <w:i/>
          <w:sz w:val="22"/>
          <w:szCs w:val="22"/>
        </w:rPr>
        <w:t>‘</w:t>
      </w:r>
      <w:r w:rsidRPr="00F50F17">
        <w:rPr>
          <w:rFonts w:asciiTheme="minorHAnsi" w:hAnsiTheme="minorHAnsi" w:cstheme="minorHAnsi"/>
          <w:i/>
          <w:sz w:val="22"/>
          <w:szCs w:val="22"/>
        </w:rPr>
        <w:t>An internal evaluation will always face challenges in demonstrating independence because those conducting will be seen as having an interest in the success (or failure) of the initiative. Steps can be put in place to separate the internal evaluators from the intervention delivery but their judgements will still risk being seen as being ‘compromised’ by being part of the delivery agency or company.</w:t>
      </w:r>
      <w:r>
        <w:rPr>
          <w:rFonts w:asciiTheme="minorHAnsi" w:hAnsiTheme="minorHAnsi" w:cstheme="minorHAnsi"/>
          <w:i/>
          <w:sz w:val="22"/>
          <w:szCs w:val="22"/>
        </w:rPr>
        <w:t>’</w:t>
      </w:r>
      <w:r>
        <w:rPr>
          <w:rStyle w:val="FootnoteReference"/>
          <w:rFonts w:asciiTheme="minorHAnsi" w:hAnsiTheme="minorHAnsi" w:cstheme="minorHAnsi"/>
          <w:i/>
          <w:sz w:val="22"/>
          <w:szCs w:val="22"/>
        </w:rPr>
        <w:footnoteReference w:id="15"/>
      </w:r>
    </w:p>
    <w:p w:rsidR="0030069B" w:rsidRDefault="0030069B" w:rsidP="0030069B">
      <w:pPr>
        <w:pStyle w:val="ListParagraph"/>
        <w:spacing w:after="0" w:line="240" w:lineRule="auto"/>
        <w:ind w:left="426"/>
        <w:jc w:val="both"/>
      </w:pPr>
    </w:p>
    <w:p w:rsidR="0030069B" w:rsidRDefault="0030069B" w:rsidP="0030069B">
      <w:pPr>
        <w:pStyle w:val="ListParagraph"/>
        <w:spacing w:after="0" w:line="240" w:lineRule="auto"/>
        <w:ind w:left="426"/>
        <w:jc w:val="both"/>
      </w:pPr>
      <w:r>
        <w:t xml:space="preserve">In the light of these concerns, and the pace of progress to date, we would like to suggest that future evaluations should, instead, be undertaken primarily by external, expert evaluators with no professional links to the industry. In our view, this would go some way to help strengthen public and professional confidence in gambling policy and regulation. </w:t>
      </w:r>
      <w:r w:rsidR="00E50A6B">
        <w:t xml:space="preserve"> </w:t>
      </w:r>
      <w:r>
        <w:t>We would add to this the suggestion that such evaluations are formative, rather than summative or retrospective, which would allow for the cumulative refinement of innovations during the pilot phase.</w:t>
      </w:r>
    </w:p>
    <w:p w:rsidR="0030069B" w:rsidRDefault="0030069B" w:rsidP="0030069B">
      <w:pPr>
        <w:pStyle w:val="ListParagraph"/>
        <w:spacing w:after="0" w:line="240" w:lineRule="auto"/>
        <w:ind w:left="426"/>
        <w:jc w:val="both"/>
      </w:pPr>
    </w:p>
    <w:p w:rsidR="0030069B" w:rsidRDefault="0030069B" w:rsidP="0030069B">
      <w:pPr>
        <w:pStyle w:val="ListParagraph"/>
        <w:spacing w:after="0" w:line="240" w:lineRule="auto"/>
        <w:ind w:left="426"/>
        <w:jc w:val="both"/>
      </w:pPr>
      <w:r>
        <w:t xml:space="preserve">A further concern is the selection of innovations </w:t>
      </w:r>
      <w:r w:rsidR="00257A9E">
        <w:t xml:space="preserve">chosen by operators to pilot. </w:t>
      </w:r>
      <w:r>
        <w:t xml:space="preserve">Whilst we understand that it is not the intention of the regulator to prescribe the industry’s activities, and would not wish to see innovation stifled, we suggest that some of the same concerns regarding independence and objectivity are pertinent here. </w:t>
      </w:r>
      <w:r w:rsidR="00257A9E">
        <w:t xml:space="preserve"> </w:t>
      </w:r>
      <w:r>
        <w:t>Any choice of pilot needs to demonstrate clearly that it is based on evidence of what works; to select otherwise leaves such decisions open to the criticism that they have been made, at least in part, on the basis of technical compliance and/or commercial considerations.</w:t>
      </w:r>
    </w:p>
    <w:p w:rsidR="0030069B" w:rsidRDefault="0030069B" w:rsidP="004B405E">
      <w:pPr>
        <w:spacing w:after="0" w:line="240" w:lineRule="auto"/>
        <w:ind w:left="709"/>
      </w:pPr>
      <w:r w:rsidRPr="00D45A98">
        <w:rPr>
          <w:i/>
        </w:rPr>
        <w:lastRenderedPageBreak/>
        <w:t xml:space="preserve">‘Too often, consumer protections are designed separately to products and late in the process. </w:t>
      </w:r>
      <w:r w:rsidR="007F4ADD">
        <w:rPr>
          <w:i/>
        </w:rPr>
        <w:t xml:space="preserve"> </w:t>
      </w:r>
      <w:r w:rsidRPr="00D45A98">
        <w:rPr>
          <w:i/>
        </w:rPr>
        <w:t>The focus of those designing consumer protection measures is often on technical compliance, rather than on good consumer outcomes. We want to stimulate a culture of trialling and evaluation to identify what works for the consumer.’</w:t>
      </w:r>
      <w:r>
        <w:rPr>
          <w:rStyle w:val="FootnoteReference"/>
        </w:rPr>
        <w:footnoteReference w:id="16"/>
      </w:r>
    </w:p>
    <w:p w:rsidR="004B405E" w:rsidRDefault="004B405E" w:rsidP="004B405E">
      <w:pPr>
        <w:spacing w:after="0" w:line="240" w:lineRule="auto"/>
        <w:ind w:left="709"/>
      </w:pPr>
    </w:p>
    <w:p w:rsidR="00163DF3" w:rsidRPr="00667A36" w:rsidRDefault="00163DF3" w:rsidP="00163DF3">
      <w:pPr>
        <w:pStyle w:val="ListParagraph"/>
        <w:spacing w:after="0" w:line="240" w:lineRule="auto"/>
        <w:ind w:left="426"/>
        <w:jc w:val="both"/>
      </w:pPr>
      <w:r w:rsidRPr="00257A9E">
        <w:rPr>
          <w:rFonts w:eastAsia="Times New Roman" w:cstheme="minorHAnsi"/>
          <w:iCs/>
          <w:lang w:eastAsia="en-GB"/>
        </w:rPr>
        <w:t>For example, Principle 2 of RGSB’s advice on online gambling to the Gambling Commission</w:t>
      </w:r>
      <w:r w:rsidRPr="00257A9E">
        <w:rPr>
          <w:rStyle w:val="FootnoteReference"/>
          <w:rFonts w:eastAsia="Times New Roman" w:cstheme="minorHAnsi"/>
          <w:iCs/>
          <w:lang w:eastAsia="en-GB"/>
        </w:rPr>
        <w:footnoteReference w:id="17"/>
      </w:r>
      <w:r w:rsidRPr="00257A9E">
        <w:rPr>
          <w:rFonts w:eastAsia="Times New Roman" w:cstheme="minorHAnsi"/>
          <w:iCs/>
          <w:lang w:eastAsia="en-GB"/>
        </w:rPr>
        <w:t xml:space="preserve">  </w:t>
      </w:r>
      <w:r>
        <w:t>(</w:t>
      </w:r>
      <w:r w:rsidRPr="00257A9E">
        <w:rPr>
          <w:i/>
        </w:rPr>
        <w:t>‘</w:t>
      </w:r>
      <w:r w:rsidRPr="00667A36">
        <w:rPr>
          <w:i/>
        </w:rPr>
        <w:t>Gambling</w:t>
      </w:r>
      <w:r w:rsidRPr="00257A9E">
        <w:rPr>
          <w:i/>
        </w:rPr>
        <w:t xml:space="preserve"> </w:t>
      </w:r>
      <w:r w:rsidRPr="00667A36">
        <w:rPr>
          <w:i/>
        </w:rPr>
        <w:t>with borrowed money, including through the use of a credit card, is a risk factor and therefore consumers’ ability to gamble with credit should be restricted.</w:t>
      </w:r>
      <w:r w:rsidRPr="00257A9E">
        <w:rPr>
          <w:i/>
        </w:rPr>
        <w:t>’</w:t>
      </w:r>
      <w:r w:rsidRPr="00667A36">
        <w:t xml:space="preserve"> </w:t>
      </w:r>
      <w:r>
        <w:t xml:space="preserve">) concludes </w:t>
      </w:r>
      <w:r w:rsidRPr="00257A9E">
        <w:t>that ‘</w:t>
      </w:r>
      <w:r w:rsidRPr="00257A9E">
        <w:rPr>
          <w:i/>
        </w:rPr>
        <w:t>t</w:t>
      </w:r>
      <w:r w:rsidRPr="00667A36">
        <w:rPr>
          <w:i/>
        </w:rPr>
        <w:t>here is evidence suggesting that access to additional funds is a significant ris</w:t>
      </w:r>
      <w:r w:rsidRPr="00257A9E">
        <w:rPr>
          <w:i/>
        </w:rPr>
        <w:t>k factor for in-venue gambling.’</w:t>
      </w:r>
      <w:r>
        <w:t xml:space="preserve">  </w:t>
      </w:r>
      <w:r w:rsidRPr="00667A36">
        <w:rPr>
          <w:rFonts w:ascii="Calibri" w:eastAsia="Times New Roman" w:hAnsi="Calibri" w:cs="Calibri"/>
          <w:iCs/>
          <w:lang w:eastAsia="en-GB"/>
        </w:rPr>
        <w:t>Gamble Aware</w:t>
      </w:r>
      <w:r w:rsidR="006E798E">
        <w:rPr>
          <w:rFonts w:ascii="Calibri" w:eastAsia="Times New Roman" w:hAnsi="Calibri" w:cs="Calibri"/>
          <w:iCs/>
          <w:lang w:eastAsia="en-GB"/>
        </w:rPr>
        <w:t>’s</w:t>
      </w:r>
      <w:r w:rsidRPr="00667A36">
        <w:rPr>
          <w:rFonts w:ascii="Calibri" w:eastAsia="Times New Roman" w:hAnsi="Calibri" w:cs="Calibri"/>
          <w:iCs/>
          <w:lang w:eastAsia="en-GB"/>
        </w:rPr>
        <w:t xml:space="preserve"> ‘Product-Based Harm Minimisation’ </w:t>
      </w:r>
      <w:r w:rsidR="006E798E">
        <w:rPr>
          <w:rFonts w:ascii="Calibri" w:eastAsia="Times New Roman" w:hAnsi="Calibri" w:cs="Calibri"/>
          <w:iCs/>
          <w:lang w:eastAsia="en-GB"/>
        </w:rPr>
        <w:t>report</w:t>
      </w:r>
      <w:r w:rsidR="00BD5E22">
        <w:rPr>
          <w:rStyle w:val="FootnoteReference"/>
          <w:rFonts w:ascii="Calibri" w:eastAsia="Times New Roman" w:hAnsi="Calibri" w:cs="Calibri"/>
          <w:iCs/>
          <w:lang w:eastAsia="en-GB"/>
        </w:rPr>
        <w:footnoteReference w:id="18"/>
      </w:r>
      <w:r w:rsidR="006E798E">
        <w:rPr>
          <w:rFonts w:ascii="Calibri" w:eastAsia="Times New Roman" w:hAnsi="Calibri" w:cs="Calibri"/>
          <w:iCs/>
          <w:lang w:eastAsia="en-GB"/>
        </w:rPr>
        <w:t xml:space="preserve"> </w:t>
      </w:r>
      <w:r w:rsidRPr="00667A36">
        <w:rPr>
          <w:rFonts w:ascii="Calibri" w:eastAsia="Times New Roman" w:hAnsi="Calibri" w:cs="Calibri"/>
          <w:iCs/>
          <w:lang w:eastAsia="en-GB"/>
        </w:rPr>
        <w:t>also listed restrictions on ATMs (and other ways of accessing extra cash in gambling venues) as the harm minimisation measure with the strongest evidence.</w:t>
      </w:r>
    </w:p>
    <w:p w:rsidR="00163DF3" w:rsidRPr="00667A36" w:rsidRDefault="00163DF3" w:rsidP="00163DF3">
      <w:pPr>
        <w:spacing w:after="0"/>
        <w:ind w:left="425"/>
        <w:rPr>
          <w:rFonts w:ascii="Calibri" w:eastAsia="Times New Roman" w:hAnsi="Calibri" w:cs="Calibri"/>
          <w:highlight w:val="yellow"/>
          <w:lang w:eastAsia="en-GB"/>
        </w:rPr>
      </w:pPr>
    </w:p>
    <w:p w:rsidR="00163DF3" w:rsidRPr="00667A36" w:rsidRDefault="00163DF3" w:rsidP="00163DF3">
      <w:pPr>
        <w:spacing w:after="0" w:line="240" w:lineRule="auto"/>
        <w:ind w:left="426"/>
        <w:jc w:val="both"/>
        <w:rPr>
          <w:rFonts w:ascii="Calibri" w:eastAsia="Times New Roman" w:hAnsi="Calibri" w:cs="Calibri"/>
          <w:lang w:eastAsia="en-GB"/>
        </w:rPr>
      </w:pPr>
      <w:r w:rsidRPr="00667A36">
        <w:rPr>
          <w:rFonts w:ascii="Calibri" w:eastAsia="Times New Roman" w:hAnsi="Calibri" w:cs="Calibri"/>
          <w:iCs/>
          <w:lang w:eastAsia="en-GB"/>
        </w:rPr>
        <w:t xml:space="preserve">However, pursuing this strong, well-evidenced measure does not seem to have found a place in the current strategy </w:t>
      </w:r>
      <w:r>
        <w:rPr>
          <w:rFonts w:ascii="Calibri" w:eastAsia="Times New Roman" w:hAnsi="Calibri" w:cs="Calibri"/>
          <w:iCs/>
          <w:lang w:eastAsia="en-GB"/>
        </w:rPr>
        <w:t>in relation to</w:t>
      </w:r>
      <w:r w:rsidR="0060035D">
        <w:rPr>
          <w:rFonts w:ascii="Calibri" w:eastAsia="Times New Roman" w:hAnsi="Calibri" w:cs="Calibri"/>
          <w:iCs/>
          <w:lang w:eastAsia="en-GB"/>
        </w:rPr>
        <w:t xml:space="preserve"> terrestrial gambling, given that t</w:t>
      </w:r>
      <w:r>
        <w:rPr>
          <w:rFonts w:ascii="Calibri" w:eastAsia="Times New Roman" w:hAnsi="Calibri" w:cs="Calibri"/>
          <w:iCs/>
          <w:lang w:eastAsia="en-GB"/>
        </w:rPr>
        <w:t xml:space="preserve">he evidence suggests a robust case for piloting it through independent, cross-industry studies. </w:t>
      </w:r>
      <w:r w:rsidRPr="00667A36">
        <w:rPr>
          <w:rFonts w:ascii="Calibri" w:eastAsia="Times New Roman" w:hAnsi="Calibri" w:cs="Calibri"/>
          <w:iCs/>
          <w:lang w:eastAsia="en-GB"/>
        </w:rPr>
        <w:t xml:space="preserve">We appreciate that </w:t>
      </w:r>
      <w:r>
        <w:rPr>
          <w:rFonts w:ascii="Calibri" w:eastAsia="Times New Roman" w:hAnsi="Calibri" w:cs="Calibri"/>
          <w:iCs/>
          <w:lang w:eastAsia="en-GB"/>
        </w:rPr>
        <w:t xml:space="preserve">the </w:t>
      </w:r>
      <w:r w:rsidRPr="00667A36">
        <w:rPr>
          <w:rFonts w:ascii="Calibri" w:eastAsia="Times New Roman" w:hAnsi="Calibri" w:cs="Calibri"/>
          <w:iCs/>
          <w:lang w:eastAsia="en-GB"/>
        </w:rPr>
        <w:t>G</w:t>
      </w:r>
      <w:r w:rsidRPr="004F74A8">
        <w:rPr>
          <w:rFonts w:ascii="Calibri" w:eastAsia="Times New Roman" w:hAnsi="Calibri" w:cs="Calibri"/>
          <w:iCs/>
          <w:lang w:eastAsia="en-GB"/>
        </w:rPr>
        <w:t xml:space="preserve">ambling </w:t>
      </w:r>
      <w:r w:rsidRPr="00667A36">
        <w:rPr>
          <w:rFonts w:ascii="Calibri" w:eastAsia="Times New Roman" w:hAnsi="Calibri" w:cs="Calibri"/>
          <w:iCs/>
          <w:lang w:eastAsia="en-GB"/>
        </w:rPr>
        <w:t>C</w:t>
      </w:r>
      <w:r w:rsidRPr="004F74A8">
        <w:rPr>
          <w:rFonts w:ascii="Calibri" w:eastAsia="Times New Roman" w:hAnsi="Calibri" w:cs="Calibri"/>
          <w:iCs/>
          <w:lang w:eastAsia="en-GB"/>
        </w:rPr>
        <w:t>ommission</w:t>
      </w:r>
      <w:r w:rsidRPr="00667A36">
        <w:rPr>
          <w:rFonts w:ascii="Calibri" w:eastAsia="Times New Roman" w:hAnsi="Calibri" w:cs="Calibri"/>
          <w:iCs/>
          <w:lang w:eastAsia="en-GB"/>
        </w:rPr>
        <w:t xml:space="preserve"> codes require ATMs to be placed within sight of staff, but </w:t>
      </w:r>
      <w:r w:rsidRPr="004F74A8">
        <w:rPr>
          <w:rFonts w:ascii="Calibri" w:eastAsia="Times New Roman" w:hAnsi="Calibri" w:cs="Calibri"/>
          <w:iCs/>
          <w:lang w:eastAsia="en-GB"/>
        </w:rPr>
        <w:t xml:space="preserve">do not feel that this is </w:t>
      </w:r>
      <w:r>
        <w:rPr>
          <w:rFonts w:ascii="Calibri" w:eastAsia="Times New Roman" w:hAnsi="Calibri" w:cs="Calibri"/>
          <w:iCs/>
          <w:lang w:eastAsia="en-GB"/>
        </w:rPr>
        <w:t>adequate to address the</w:t>
      </w:r>
      <w:r w:rsidRPr="004F74A8">
        <w:rPr>
          <w:rFonts w:ascii="Calibri" w:eastAsia="Times New Roman" w:hAnsi="Calibri" w:cs="Calibri"/>
          <w:iCs/>
          <w:lang w:eastAsia="en-GB"/>
        </w:rPr>
        <w:t xml:space="preserve"> </w:t>
      </w:r>
      <w:r>
        <w:rPr>
          <w:rFonts w:ascii="Calibri" w:eastAsia="Times New Roman" w:hAnsi="Calibri" w:cs="Calibri"/>
          <w:iCs/>
          <w:lang w:eastAsia="en-GB"/>
        </w:rPr>
        <w:t>risk: h</w:t>
      </w:r>
      <w:r w:rsidRPr="00667A36">
        <w:rPr>
          <w:rFonts w:ascii="Calibri" w:eastAsia="Times New Roman" w:hAnsi="Calibri" w:cs="Calibri"/>
          <w:iCs/>
          <w:lang w:eastAsia="en-GB"/>
        </w:rPr>
        <w:t xml:space="preserve">arm reduction should not be preferred over harm prevention, particularly when the evidence is so sound.  </w:t>
      </w:r>
      <w:r w:rsidR="00455512">
        <w:rPr>
          <w:rFonts w:ascii="Calibri" w:eastAsia="Times New Roman" w:hAnsi="Calibri" w:cs="Calibri"/>
          <w:lang w:eastAsia="en-GB"/>
        </w:rPr>
        <w:t xml:space="preserve">We are pleased to note recent media reports suggesting that the Culture Secretary, Jeremy Wright, is planning to meet operators and major banks </w:t>
      </w:r>
      <w:r w:rsidR="0060035D">
        <w:rPr>
          <w:rFonts w:ascii="Calibri" w:eastAsia="Times New Roman" w:hAnsi="Calibri" w:cs="Calibri"/>
          <w:lang w:eastAsia="en-GB"/>
        </w:rPr>
        <w:t xml:space="preserve">soon </w:t>
      </w:r>
      <w:r w:rsidR="00455512">
        <w:rPr>
          <w:rFonts w:ascii="Calibri" w:eastAsia="Times New Roman" w:hAnsi="Calibri" w:cs="Calibri"/>
          <w:lang w:eastAsia="en-GB"/>
        </w:rPr>
        <w:t>to discuss concerns about cashless payments</w:t>
      </w:r>
      <w:r w:rsidR="0060035D">
        <w:rPr>
          <w:rFonts w:ascii="Calibri" w:eastAsia="Times New Roman" w:hAnsi="Calibri" w:cs="Calibri"/>
          <w:lang w:eastAsia="en-GB"/>
        </w:rPr>
        <w:t>,</w:t>
      </w:r>
      <w:r w:rsidR="00455512">
        <w:rPr>
          <w:rFonts w:ascii="Calibri" w:eastAsia="Times New Roman" w:hAnsi="Calibri" w:cs="Calibri"/>
          <w:lang w:eastAsia="en-GB"/>
        </w:rPr>
        <w:t xml:space="preserve"> and that the Gambling Commission is </w:t>
      </w:r>
      <w:r w:rsidR="0060035D">
        <w:rPr>
          <w:rFonts w:ascii="Calibri" w:eastAsia="Times New Roman" w:hAnsi="Calibri" w:cs="Calibri"/>
          <w:lang w:eastAsia="en-GB"/>
        </w:rPr>
        <w:t xml:space="preserve"> </w:t>
      </w:r>
      <w:r w:rsidR="00455512">
        <w:rPr>
          <w:rFonts w:ascii="Calibri" w:eastAsia="Times New Roman" w:hAnsi="Calibri" w:cs="Calibri"/>
          <w:lang w:eastAsia="en-GB"/>
        </w:rPr>
        <w:t xml:space="preserve">to launch a call for evidence. </w:t>
      </w:r>
    </w:p>
    <w:p w:rsidR="00163DF3" w:rsidRDefault="00163DF3" w:rsidP="005F681F">
      <w:pPr>
        <w:pStyle w:val="ListParagraph"/>
        <w:spacing w:after="0" w:line="240" w:lineRule="auto"/>
        <w:ind w:left="425"/>
        <w:contextualSpacing w:val="0"/>
        <w:jc w:val="both"/>
      </w:pPr>
    </w:p>
    <w:p w:rsidR="0030069B" w:rsidRDefault="005F6651" w:rsidP="005F681F">
      <w:pPr>
        <w:pStyle w:val="ListParagraph"/>
        <w:spacing w:after="0" w:line="240" w:lineRule="auto"/>
        <w:ind w:left="425"/>
        <w:contextualSpacing w:val="0"/>
        <w:jc w:val="both"/>
      </w:pPr>
      <w:r>
        <w:t xml:space="preserve">The </w:t>
      </w:r>
      <w:r w:rsidR="00163DF3" w:rsidRPr="004B02CD">
        <w:t xml:space="preserve">mid-term </w:t>
      </w:r>
      <w:r w:rsidR="004B02CD">
        <w:t>assessment</w:t>
      </w:r>
      <w:r w:rsidR="00D661D6">
        <w:t xml:space="preserve">, together with the </w:t>
      </w:r>
      <w:r>
        <w:t xml:space="preserve">Gambling Commission’s Research </w:t>
      </w:r>
      <w:r w:rsidR="001700C9">
        <w:t>Programme (2018-22)</w:t>
      </w:r>
      <w:r w:rsidR="00D661D6">
        <w:t xml:space="preserve"> and</w:t>
      </w:r>
      <w:r w:rsidR="00163DF3">
        <w:t xml:space="preserve"> its consultation on the new</w:t>
      </w:r>
      <w:r>
        <w:t xml:space="preserve"> strateg</w:t>
      </w:r>
      <w:r w:rsidR="00D661D6">
        <w:t xml:space="preserve">y, </w:t>
      </w:r>
      <w:r>
        <w:t>highlight</w:t>
      </w:r>
      <w:r w:rsidR="00D661D6">
        <w:t>s</w:t>
      </w:r>
      <w:r>
        <w:t xml:space="preserve"> the </w:t>
      </w:r>
      <w:r w:rsidR="00D661D6">
        <w:t>value</w:t>
      </w:r>
      <w:r>
        <w:t xml:space="preserve"> of </w:t>
      </w:r>
      <w:r w:rsidR="00D661D6">
        <w:t xml:space="preserve">establishing </w:t>
      </w:r>
      <w:r>
        <w:t>an open data repository</w:t>
      </w:r>
      <w:r w:rsidR="00D661D6">
        <w:t>/hub</w:t>
      </w:r>
      <w:r>
        <w:t>. W</w:t>
      </w:r>
      <w:r w:rsidR="0030069B">
        <w:t xml:space="preserve">e </w:t>
      </w:r>
      <w:r w:rsidR="00D661D6">
        <w:t>support this view and believe that it</w:t>
      </w:r>
      <w:r w:rsidR="0030069B">
        <w:t xml:space="preserve"> could provide the reassurance operators need in order to sh</w:t>
      </w:r>
      <w:r w:rsidR="00D661D6">
        <w:t xml:space="preserve">are findings confidentially. It would </w:t>
      </w:r>
      <w:r w:rsidR="0030069B">
        <w:t xml:space="preserve">develop a robust </w:t>
      </w:r>
      <w:r w:rsidR="00D661D6">
        <w:t xml:space="preserve">and accessible </w:t>
      </w:r>
      <w:r w:rsidR="0030069B">
        <w:t xml:space="preserve">body of evidence concerning effective practice on which future research </w:t>
      </w:r>
      <w:r w:rsidR="00D661D6">
        <w:t xml:space="preserve">- </w:t>
      </w:r>
      <w:r w:rsidR="0030069B">
        <w:t xml:space="preserve">and the selection of </w:t>
      </w:r>
      <w:r w:rsidR="00D661D6">
        <w:t>promising innovations to pilot- w</w:t>
      </w:r>
      <w:r w:rsidR="0030069B">
        <w:t xml:space="preserve">ould be based.  </w:t>
      </w:r>
    </w:p>
    <w:p w:rsidR="0030069B" w:rsidRDefault="0030069B" w:rsidP="0030069B">
      <w:pPr>
        <w:pStyle w:val="ListParagraph"/>
        <w:spacing w:after="0" w:line="240" w:lineRule="auto"/>
        <w:ind w:left="425"/>
        <w:contextualSpacing w:val="0"/>
      </w:pPr>
    </w:p>
    <w:p w:rsidR="0030069B" w:rsidRDefault="0030069B" w:rsidP="005F681F">
      <w:pPr>
        <w:pStyle w:val="ListParagraph"/>
        <w:spacing w:after="0" w:line="240" w:lineRule="auto"/>
        <w:ind w:left="425"/>
        <w:contextualSpacing w:val="0"/>
        <w:jc w:val="both"/>
      </w:pPr>
      <w:r>
        <w:t xml:space="preserve">In addition, we note that </w:t>
      </w:r>
      <w:r w:rsidR="004A72D1">
        <w:t>although</w:t>
      </w:r>
      <w:r w:rsidR="005222F9">
        <w:t xml:space="preserve"> </w:t>
      </w:r>
      <w:r>
        <w:t>GambleAware</w:t>
      </w:r>
      <w:r w:rsidR="00F46EC8">
        <w:t xml:space="preserve"> ha</w:t>
      </w:r>
      <w:r w:rsidR="004A72D1">
        <w:t>s</w:t>
      </w:r>
      <w:r w:rsidR="00F46EC8">
        <w:t xml:space="preserve"> led the majority of evaluation</w:t>
      </w:r>
      <w:r w:rsidR="00BC7DA3">
        <w:t>s</w:t>
      </w:r>
      <w:r w:rsidR="00F46EC8">
        <w:t xml:space="preserve"> cited in the </w:t>
      </w:r>
      <w:r w:rsidR="004B02CD">
        <w:t>mid-term assessment</w:t>
      </w:r>
      <w:r w:rsidR="00F46EC8">
        <w:t>, it identifies</w:t>
      </w:r>
      <w:r>
        <w:t xml:space="preserve"> only 6% of its funds </w:t>
      </w:r>
      <w:r w:rsidRPr="0009121C">
        <w:t>for evaluation</w:t>
      </w:r>
      <w:r>
        <w:t xml:space="preserve"> in its two-year financial plan.</w:t>
      </w:r>
      <w:r w:rsidRPr="0009121C">
        <w:rPr>
          <w:rStyle w:val="FootnoteReference"/>
        </w:rPr>
        <w:footnoteReference w:id="19"/>
      </w:r>
      <w:r w:rsidR="006E798E">
        <w:t xml:space="preserve"> </w:t>
      </w:r>
      <w:r>
        <w:t>We suggest that i</w:t>
      </w:r>
      <w:r w:rsidR="005B6AAA">
        <w:t xml:space="preserve">ncreasing resourcing </w:t>
      </w:r>
      <w:r w:rsidR="00842E31">
        <w:t>in</w:t>
      </w:r>
      <w:r w:rsidR="005B6AAA">
        <w:t xml:space="preserve"> this area would help to</w:t>
      </w:r>
      <w:r>
        <w:t xml:space="preserve"> ensure </w:t>
      </w:r>
      <w:r w:rsidR="00BC7DA3">
        <w:t xml:space="preserve">that </w:t>
      </w:r>
      <w:r>
        <w:t>evaluation across the industry is consistent, independent and of a demonstrably high quality.</w:t>
      </w:r>
    </w:p>
    <w:p w:rsidR="00143D67" w:rsidRDefault="00143D67" w:rsidP="005F681F">
      <w:pPr>
        <w:pStyle w:val="ListParagraph"/>
        <w:spacing w:after="0" w:line="240" w:lineRule="auto"/>
        <w:ind w:left="426"/>
        <w:contextualSpacing w:val="0"/>
        <w:jc w:val="both"/>
      </w:pPr>
    </w:p>
    <w:p w:rsidR="001700C9" w:rsidRDefault="00143D67" w:rsidP="005F681F">
      <w:pPr>
        <w:pStyle w:val="ListParagraph"/>
        <w:spacing w:after="0" w:line="240" w:lineRule="auto"/>
        <w:ind w:left="426"/>
        <w:contextualSpacing w:val="0"/>
        <w:jc w:val="both"/>
      </w:pPr>
      <w:r w:rsidRPr="00143D67">
        <w:t>The Gambling Commission’s current c</w:t>
      </w:r>
      <w:r w:rsidR="002D4B64" w:rsidRPr="00143D67">
        <w:t>onsultation</w:t>
      </w:r>
      <w:r w:rsidR="00163DF3">
        <w:t xml:space="preserve"> </w:t>
      </w:r>
      <w:r>
        <w:t>includes the objective to ‘</w:t>
      </w:r>
      <w:r w:rsidRPr="001700C9">
        <w:rPr>
          <w:i/>
        </w:rPr>
        <w:t xml:space="preserve">explore options to prioritise, coordinate and embed proportionate </w:t>
      </w:r>
      <w:r w:rsidR="002D4B64" w:rsidRPr="001700C9">
        <w:rPr>
          <w:i/>
        </w:rPr>
        <w:t>evaluation</w:t>
      </w:r>
      <w:r w:rsidR="003B7A82" w:rsidRPr="001700C9">
        <w:rPr>
          <w:i/>
        </w:rPr>
        <w:t xml:space="preserve">’ </w:t>
      </w:r>
      <w:r w:rsidRPr="00143D67">
        <w:t xml:space="preserve">and </w:t>
      </w:r>
      <w:r w:rsidR="003B7A82">
        <w:t>states</w:t>
      </w:r>
      <w:r w:rsidR="00163DF3">
        <w:t xml:space="preserve"> </w:t>
      </w:r>
      <w:r w:rsidR="003B7A82">
        <w:t xml:space="preserve">that </w:t>
      </w:r>
      <w:r w:rsidR="003F0EDB">
        <w:t xml:space="preserve">it </w:t>
      </w:r>
      <w:r w:rsidR="003B7A82">
        <w:t>is</w:t>
      </w:r>
      <w:r w:rsidR="00163DF3">
        <w:t xml:space="preserve"> </w:t>
      </w:r>
      <w:r>
        <w:t>‘</w:t>
      </w:r>
      <w:r w:rsidRPr="00143D67">
        <w:rPr>
          <w:i/>
        </w:rPr>
        <w:t>genuinely cross-cutting across all other areas of the strategy</w:t>
      </w:r>
      <w:r>
        <w:t>.’</w:t>
      </w:r>
      <w:r w:rsidRPr="00143D67">
        <w:t xml:space="preserve"> We look forward to seeing the impact of this re</w:t>
      </w:r>
      <w:r w:rsidR="00BC7DA3">
        <w:t>-</w:t>
      </w:r>
      <w:r w:rsidRPr="00143D67">
        <w:t xml:space="preserve">emphasis. </w:t>
      </w:r>
    </w:p>
    <w:p w:rsidR="00BF15B3" w:rsidRDefault="00BF15B3">
      <w:pPr>
        <w:rPr>
          <w:b/>
          <w:highlight w:val="yellow"/>
        </w:rPr>
      </w:pPr>
      <w:r>
        <w:rPr>
          <w:b/>
          <w:highlight w:val="yellow"/>
        </w:rPr>
        <w:br w:type="page"/>
      </w:r>
    </w:p>
    <w:p w:rsidR="00CC1C33" w:rsidRDefault="00BF15B3" w:rsidP="00585800">
      <w:pPr>
        <w:pStyle w:val="ListParagraph"/>
        <w:numPr>
          <w:ilvl w:val="0"/>
          <w:numId w:val="10"/>
        </w:numPr>
        <w:spacing w:after="0" w:line="240" w:lineRule="auto"/>
        <w:ind w:left="426" w:hanging="426"/>
        <w:jc w:val="both"/>
        <w:rPr>
          <w:b/>
        </w:rPr>
      </w:pPr>
      <w:r>
        <w:rPr>
          <w:b/>
        </w:rPr>
        <w:lastRenderedPageBreak/>
        <w:t>EDUCATION</w:t>
      </w:r>
    </w:p>
    <w:p w:rsidR="00E105B2" w:rsidRPr="00E105B2" w:rsidRDefault="00E105B2" w:rsidP="00E105B2">
      <w:pPr>
        <w:pStyle w:val="ListParagraph"/>
        <w:spacing w:after="0" w:line="240" w:lineRule="auto"/>
        <w:ind w:left="426"/>
        <w:jc w:val="both"/>
      </w:pPr>
      <w:r>
        <w:t>We would like to reiterate our response to the RGSB Strategy Report, October 2017, in which</w:t>
      </w:r>
      <w:r w:rsidR="00DC43CB">
        <w:t xml:space="preserve"> we </w:t>
      </w:r>
      <w:r w:rsidR="007D7AD8">
        <w:t xml:space="preserve">suggested that </w:t>
      </w:r>
      <w:r w:rsidRPr="007D7AD8">
        <w:rPr>
          <w:i/>
        </w:rPr>
        <w:t>‘</w:t>
      </w:r>
      <w:r>
        <w:rPr>
          <w:i/>
        </w:rPr>
        <w:t>t</w:t>
      </w:r>
      <w:r w:rsidRPr="007D7AD8">
        <w:rPr>
          <w:i/>
        </w:rPr>
        <w:t>he public needs to know that swift, repetitive forms of gambling with few structural breaks carry more risks of problem gambling behaviours than do those with a lower ‘event frequency’...’</w:t>
      </w:r>
      <w:r>
        <w:t xml:space="preserve">, and recommended that </w:t>
      </w:r>
      <w:r w:rsidRPr="00E105B2">
        <w:rPr>
          <w:i/>
        </w:rPr>
        <w:t xml:space="preserve">‘public education on gambling includes clear, evidence-based information on the characteristics of high-risk forms of gambling, and which forms have higher problem rates.’  </w:t>
      </w:r>
    </w:p>
    <w:p w:rsidR="00E105B2" w:rsidRDefault="00E105B2" w:rsidP="00DC43CB">
      <w:pPr>
        <w:pStyle w:val="ListParagraph"/>
        <w:spacing w:after="0" w:line="240" w:lineRule="auto"/>
        <w:ind w:left="426"/>
        <w:jc w:val="both"/>
      </w:pPr>
    </w:p>
    <w:p w:rsidR="00E105B2" w:rsidRDefault="00E105B2" w:rsidP="00DC43CB">
      <w:pPr>
        <w:pStyle w:val="ListParagraph"/>
        <w:spacing w:after="0" w:line="240" w:lineRule="auto"/>
        <w:ind w:left="426"/>
        <w:jc w:val="both"/>
      </w:pPr>
      <w:r>
        <w:t>We maintain that it</w:t>
      </w:r>
      <w:r w:rsidR="007D7AD8">
        <w:t xml:space="preserve"> would be helpful if UK </w:t>
      </w:r>
      <w:r w:rsidR="00DC43CB">
        <w:t xml:space="preserve">public health </w:t>
      </w:r>
      <w:r w:rsidR="007D7AD8">
        <w:t xml:space="preserve">information </w:t>
      </w:r>
      <w:r w:rsidR="00DC43CB">
        <w:t>and awaren</w:t>
      </w:r>
      <w:r w:rsidR="007D7AD8">
        <w:t>ess-raising campaigns</w:t>
      </w:r>
      <w:r w:rsidR="00393344">
        <w:t>/initiatives</w:t>
      </w:r>
      <w:r w:rsidR="006E798E">
        <w:t xml:space="preserve"> </w:t>
      </w:r>
      <w:r>
        <w:t>could be</w:t>
      </w:r>
      <w:r w:rsidR="006E798E">
        <w:t xml:space="preserve"> </w:t>
      </w:r>
      <w:r w:rsidR="006154FC">
        <w:t>informed by</w:t>
      </w:r>
      <w:r w:rsidR="00DC43CB">
        <w:t xml:space="preserve"> examples from international work</w:t>
      </w:r>
      <w:r w:rsidR="007D7AD8">
        <w:t xml:space="preserve"> e.g. </w:t>
      </w:r>
      <w:r w:rsidR="00DC43CB">
        <w:t>New Zealand</w:t>
      </w:r>
      <w:r w:rsidR="00BC7DA3">
        <w:t>,</w:t>
      </w:r>
      <w:r w:rsidR="007D7AD8">
        <w:t xml:space="preserve"> where</w:t>
      </w:r>
      <w:r w:rsidR="006E798E">
        <w:t xml:space="preserve"> </w:t>
      </w:r>
      <w:r>
        <w:t>the</w:t>
      </w:r>
      <w:r w:rsidR="00DC43CB">
        <w:t xml:space="preserve"> public </w:t>
      </w:r>
      <w:r w:rsidR="007D7AD8">
        <w:t>is provided with clear,</w:t>
      </w:r>
      <w:r w:rsidR="00DC43CB">
        <w:t xml:space="preserve"> unequivocal information </w:t>
      </w:r>
      <w:r>
        <w:t xml:space="preserve">derived from treatment data </w:t>
      </w:r>
      <w:r w:rsidR="00DC43CB">
        <w:t>about the relative risks asso</w:t>
      </w:r>
      <w:r w:rsidR="007D7AD8">
        <w:t xml:space="preserve">ciated with </w:t>
      </w:r>
      <w:r>
        <w:t>specific forms of gambling:</w:t>
      </w:r>
    </w:p>
    <w:p w:rsidR="00E105B2" w:rsidRDefault="00E105B2" w:rsidP="00393344">
      <w:pPr>
        <w:pStyle w:val="ListParagraph"/>
        <w:spacing w:after="0" w:line="240" w:lineRule="auto"/>
        <w:ind w:left="426"/>
        <w:jc w:val="center"/>
      </w:pPr>
    </w:p>
    <w:p w:rsidR="00DC43CB" w:rsidRPr="00E105B2" w:rsidRDefault="00E105B2" w:rsidP="00722814">
      <w:pPr>
        <w:pStyle w:val="ListParagraph"/>
        <w:spacing w:after="0" w:line="240" w:lineRule="auto"/>
        <w:ind w:left="709"/>
        <w:jc w:val="both"/>
        <w:rPr>
          <w:i/>
        </w:rPr>
      </w:pPr>
      <w:r w:rsidRPr="00E105B2">
        <w:rPr>
          <w:i/>
        </w:rPr>
        <w:t>‘The majority of people who seek help for their gambling problems do so because of non-casino pokies... Casino gambling (including pokies and table games) is the second largest category.’</w:t>
      </w:r>
      <w:r>
        <w:rPr>
          <w:rStyle w:val="FootnoteReference"/>
          <w:i/>
        </w:rPr>
        <w:footnoteReference w:id="20"/>
      </w:r>
    </w:p>
    <w:p w:rsidR="00CC1C33" w:rsidRDefault="00CC1C33" w:rsidP="00223002">
      <w:pPr>
        <w:pStyle w:val="ListParagraph"/>
        <w:spacing w:after="0" w:line="240" w:lineRule="auto"/>
        <w:ind w:left="426"/>
        <w:jc w:val="both"/>
        <w:rPr>
          <w:b/>
        </w:rPr>
      </w:pPr>
    </w:p>
    <w:p w:rsidR="00223002" w:rsidRPr="009D1FC9" w:rsidRDefault="00524D79" w:rsidP="009D1FC9">
      <w:pPr>
        <w:pStyle w:val="ListParagraph"/>
        <w:numPr>
          <w:ilvl w:val="0"/>
          <w:numId w:val="10"/>
        </w:numPr>
        <w:spacing w:after="0" w:line="240" w:lineRule="auto"/>
        <w:ind w:left="426" w:hanging="426"/>
        <w:jc w:val="both"/>
        <w:rPr>
          <w:b/>
        </w:rPr>
      </w:pPr>
      <w:r w:rsidRPr="009D1FC9">
        <w:rPr>
          <w:b/>
        </w:rPr>
        <w:t>PUBLIC ENGAGEMENT (PA12)</w:t>
      </w:r>
    </w:p>
    <w:p w:rsidR="00223002" w:rsidRDefault="00DC43CB" w:rsidP="00223002">
      <w:pPr>
        <w:pStyle w:val="ListParagraph"/>
        <w:spacing w:after="0" w:line="240" w:lineRule="auto"/>
        <w:ind w:left="426"/>
        <w:jc w:val="both"/>
      </w:pPr>
      <w:r>
        <w:t>We welcome the commissioning of research into consumers’ attitudes by the Gambling Commission and agree that public insights and experiences would provide a valuable, additional dimension to inform the development of strategies and interventions. As mentioned above (</w:t>
      </w:r>
      <w:r w:rsidR="0048502D">
        <w:t>p2</w:t>
      </w:r>
      <w:r>
        <w:t xml:space="preserve">), we hope that this will include consultation with close others, given that gambling-related harm has been shown to have </w:t>
      </w:r>
      <w:r w:rsidR="006E798E">
        <w:t xml:space="preserve">such </w:t>
      </w:r>
      <w:r>
        <w:t>significant and often long-lasting impacts on them.</w:t>
      </w:r>
      <w:r w:rsidR="006E798E">
        <w:t xml:space="preserve"> </w:t>
      </w:r>
      <w:r w:rsidR="002201FD">
        <w:t>There is also scope for consulting with groups not previously included, for example prisoners and ex-offenders.</w:t>
      </w:r>
    </w:p>
    <w:p w:rsidR="00223002" w:rsidRDefault="00223002" w:rsidP="00223002">
      <w:pPr>
        <w:pStyle w:val="ListParagraph"/>
        <w:spacing w:after="0" w:line="240" w:lineRule="auto"/>
        <w:ind w:left="426"/>
        <w:jc w:val="both"/>
        <w:rPr>
          <w:b/>
        </w:rPr>
      </w:pPr>
    </w:p>
    <w:p w:rsidR="00784B8A" w:rsidRDefault="00784B8A" w:rsidP="009D1FC9">
      <w:pPr>
        <w:pStyle w:val="ListParagraph"/>
        <w:numPr>
          <w:ilvl w:val="0"/>
          <w:numId w:val="10"/>
        </w:numPr>
        <w:spacing w:after="0" w:line="240" w:lineRule="auto"/>
        <w:ind w:left="426" w:hanging="426"/>
        <w:jc w:val="both"/>
        <w:rPr>
          <w:b/>
        </w:rPr>
      </w:pPr>
      <w:r>
        <w:rPr>
          <w:b/>
        </w:rPr>
        <w:t xml:space="preserve">FUNDING FOR RET </w:t>
      </w:r>
    </w:p>
    <w:p w:rsidR="005E60C1" w:rsidRDefault="001A4A0D" w:rsidP="00223002">
      <w:pPr>
        <w:pStyle w:val="ListParagraph"/>
        <w:spacing w:after="0" w:line="240" w:lineRule="auto"/>
        <w:ind w:left="426"/>
        <w:jc w:val="both"/>
      </w:pPr>
      <w:r>
        <w:t>The</w:t>
      </w:r>
      <w:r w:rsidR="00784B8A">
        <w:t xml:space="preserve"> 16% increase </w:t>
      </w:r>
      <w:r w:rsidR="00E06125">
        <w:t xml:space="preserve">(to £9.4m) </w:t>
      </w:r>
      <w:r w:rsidR="00784B8A">
        <w:t>in</w:t>
      </w:r>
      <w:r w:rsidR="00E06125">
        <w:t xml:space="preserve"> the</w:t>
      </w:r>
      <w:r w:rsidR="005222F9">
        <w:t xml:space="preserve"> </w:t>
      </w:r>
      <w:r>
        <w:t>industry</w:t>
      </w:r>
      <w:r w:rsidR="00E06125">
        <w:t>’s</w:t>
      </w:r>
      <w:r w:rsidR="005222F9">
        <w:t xml:space="preserve"> </w:t>
      </w:r>
      <w:r w:rsidR="00E06125">
        <w:t>v</w:t>
      </w:r>
      <w:r w:rsidR="00E06125" w:rsidRPr="005B064B">
        <w:t xml:space="preserve">oluntary </w:t>
      </w:r>
      <w:r w:rsidR="005B064B" w:rsidRPr="005B064B">
        <w:t xml:space="preserve">contributions </w:t>
      </w:r>
      <w:r>
        <w:t>to GambleAware</w:t>
      </w:r>
      <w:r w:rsidR="005222F9">
        <w:t xml:space="preserve"> </w:t>
      </w:r>
      <w:r w:rsidR="00784B8A">
        <w:t xml:space="preserve">for the year </w:t>
      </w:r>
      <w:r w:rsidR="00E06125">
        <w:t xml:space="preserve">to </w:t>
      </w:r>
      <w:r w:rsidR="00784B8A">
        <w:t>March 2018</w:t>
      </w:r>
      <w:r>
        <w:t xml:space="preserve"> was encouraging. However, this</w:t>
      </w:r>
      <w:r w:rsidR="00784B8A">
        <w:t xml:space="preserve"> still </w:t>
      </w:r>
      <w:r>
        <w:t>fell short of</w:t>
      </w:r>
      <w:r w:rsidR="00784B8A">
        <w:t xml:space="preserve"> the £10m </w:t>
      </w:r>
      <w:r w:rsidR="00784B8A" w:rsidRPr="005B064B">
        <w:t xml:space="preserve">needed to sustain </w:t>
      </w:r>
      <w:r w:rsidR="00784B8A">
        <w:t>GambleAware’s</w:t>
      </w:r>
      <w:r w:rsidR="005222F9">
        <w:t xml:space="preserve"> </w:t>
      </w:r>
      <w:r w:rsidR="00784B8A" w:rsidRPr="005B064B">
        <w:t xml:space="preserve">activities </w:t>
      </w:r>
      <w:r w:rsidR="00784B8A" w:rsidRPr="006E798E">
        <w:rPr>
          <w:i/>
        </w:rPr>
        <w:t>at their current level</w:t>
      </w:r>
      <w:r w:rsidR="005E60C1">
        <w:t>.</w:t>
      </w:r>
      <w:r w:rsidR="006E798E">
        <w:t xml:space="preserve">  </w:t>
      </w:r>
      <w:r w:rsidR="005E60C1">
        <w:t>T</w:t>
      </w:r>
      <w:r>
        <w:t>he Year 2 report</w:t>
      </w:r>
      <w:r w:rsidR="004027C3">
        <w:rPr>
          <w:rStyle w:val="FootnoteReference"/>
          <w:rFonts w:cstheme="minorHAnsi"/>
          <w:i/>
        </w:rPr>
        <w:footnoteReference w:id="21"/>
      </w:r>
      <w:r w:rsidR="006E798E">
        <w:t xml:space="preserve"> </w:t>
      </w:r>
      <w:r w:rsidR="005E60C1">
        <w:t xml:space="preserve">indicates an increase to </w:t>
      </w:r>
      <w:r w:rsidR="006E798E">
        <w:t>an estimated</w:t>
      </w:r>
      <w:r w:rsidR="005E60C1">
        <w:t xml:space="preserve"> £86m</w:t>
      </w:r>
      <w:r w:rsidR="00E06125">
        <w:t xml:space="preserve"> would be needed</w:t>
      </w:r>
      <w:r w:rsidR="005E60C1">
        <w:t xml:space="preserve"> i</w:t>
      </w:r>
      <w:r w:rsidR="00E06125">
        <w:t>f</w:t>
      </w:r>
      <w:r w:rsidR="005E60C1">
        <w:t xml:space="preserve"> the Gambling Commission’s ambition for the UK to become a world leader in minimising gambling-related harm is to be realised:</w:t>
      </w:r>
    </w:p>
    <w:p w:rsidR="005E60C1" w:rsidRDefault="005E60C1" w:rsidP="00223002">
      <w:pPr>
        <w:pStyle w:val="ListParagraph"/>
        <w:spacing w:after="0" w:line="240" w:lineRule="auto"/>
        <w:ind w:left="426"/>
        <w:jc w:val="both"/>
      </w:pPr>
    </w:p>
    <w:p w:rsidR="005E60C1" w:rsidRPr="005E60C1" w:rsidRDefault="005E60C1" w:rsidP="005E60C1">
      <w:pPr>
        <w:pStyle w:val="ListParagraph"/>
        <w:spacing w:after="0" w:line="240" w:lineRule="auto"/>
        <w:ind w:left="709"/>
        <w:jc w:val="both"/>
        <w:rPr>
          <w:rFonts w:cstheme="minorHAnsi"/>
          <w:i/>
        </w:rPr>
      </w:pPr>
      <w:r>
        <w:rPr>
          <w:rFonts w:cstheme="minorHAnsi"/>
          <w:i/>
        </w:rPr>
        <w:t>‘</w:t>
      </w:r>
      <w:r w:rsidRPr="005E60C1">
        <w:rPr>
          <w:rFonts w:cstheme="minorHAnsi"/>
          <w:i/>
        </w:rPr>
        <w:t>It should also be noted that even £86milliona year would represent only around 0.6 per cent of the gambling industry’s gross gaming yield (when the National Lottery is included). This does not seem an unreasonable ask given the significant harm gambling causes.</w:t>
      </w:r>
      <w:r>
        <w:rPr>
          <w:rFonts w:cstheme="minorHAnsi"/>
          <w:i/>
        </w:rPr>
        <w:t>’</w:t>
      </w:r>
    </w:p>
    <w:p w:rsidR="00267683" w:rsidRDefault="00267683" w:rsidP="00FE1B64">
      <w:pPr>
        <w:pStyle w:val="Default"/>
        <w:rPr>
          <w:rFonts w:asciiTheme="minorHAnsi" w:hAnsiTheme="minorHAnsi" w:cstheme="minorBidi"/>
          <w:color w:val="auto"/>
          <w:sz w:val="22"/>
          <w:szCs w:val="22"/>
        </w:rPr>
      </w:pPr>
    </w:p>
    <w:p w:rsidR="0038705E" w:rsidRPr="00AB0153" w:rsidRDefault="00AB0153" w:rsidP="00AB0153">
      <w:pPr>
        <w:pStyle w:val="ListParagraph"/>
        <w:spacing w:after="0" w:line="240" w:lineRule="auto"/>
        <w:ind w:left="709"/>
        <w:jc w:val="both"/>
        <w:rPr>
          <w:rFonts w:cstheme="minorHAnsi"/>
          <w:i/>
        </w:rPr>
      </w:pPr>
      <w:r>
        <w:rPr>
          <w:rFonts w:cstheme="minorHAnsi"/>
          <w:i/>
        </w:rPr>
        <w:t>‘</w:t>
      </w:r>
      <w:r w:rsidRPr="00AB0153">
        <w:rPr>
          <w:rFonts w:cstheme="minorHAnsi"/>
          <w:i/>
        </w:rPr>
        <w:t>Operators should dedicate as much energy and creativity to player protection as they do to their commercial activities, and should commit resources to it in sufficient quantity to reflect its importance.</w:t>
      </w:r>
      <w:r>
        <w:rPr>
          <w:rFonts w:cstheme="minorHAnsi"/>
          <w:i/>
        </w:rPr>
        <w:t>’</w:t>
      </w:r>
      <w:r>
        <w:rPr>
          <w:rStyle w:val="FootnoteReference"/>
          <w:rFonts w:cstheme="minorHAnsi"/>
          <w:i/>
        </w:rPr>
        <w:footnoteReference w:id="22"/>
      </w:r>
    </w:p>
    <w:p w:rsidR="00AB0153" w:rsidRDefault="00AB0153" w:rsidP="00FE1B64">
      <w:pPr>
        <w:pStyle w:val="Default"/>
        <w:rPr>
          <w:rFonts w:asciiTheme="minorHAnsi" w:hAnsiTheme="minorHAnsi" w:cstheme="minorBidi"/>
          <w:i/>
          <w:color w:val="auto"/>
          <w:sz w:val="22"/>
          <w:szCs w:val="22"/>
        </w:rPr>
      </w:pPr>
    </w:p>
    <w:p w:rsidR="00AB0153" w:rsidRPr="007F4BA2" w:rsidRDefault="001A4F7F" w:rsidP="007F4BA2">
      <w:pPr>
        <w:pStyle w:val="ListParagraph"/>
        <w:spacing w:after="0" w:line="240" w:lineRule="auto"/>
        <w:ind w:left="426"/>
        <w:jc w:val="both"/>
      </w:pPr>
      <w:r>
        <w:t>We support these views and would like to reiterate our call for the introduction of a statutory levy.</w:t>
      </w:r>
    </w:p>
    <w:sectPr w:rsidR="00AB0153" w:rsidRPr="007F4BA2" w:rsidSect="00C01C54">
      <w:footerReference w:type="default" r:id="rId10"/>
      <w:pgSz w:w="12240" w:h="15840" w:code="1"/>
      <w:pgMar w:top="1440" w:right="14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12B" w:rsidRDefault="006D112B" w:rsidP="00215B1C">
      <w:pPr>
        <w:spacing w:after="0" w:line="240" w:lineRule="auto"/>
      </w:pPr>
      <w:r>
        <w:separator/>
      </w:r>
    </w:p>
  </w:endnote>
  <w:endnote w:type="continuationSeparator" w:id="1">
    <w:p w:rsidR="006D112B" w:rsidRDefault="006D112B" w:rsidP="00215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46016"/>
      <w:docPartObj>
        <w:docPartGallery w:val="Page Numbers (Bottom of Page)"/>
        <w:docPartUnique/>
      </w:docPartObj>
    </w:sdtPr>
    <w:sdtContent>
      <w:p w:rsidR="00143D67" w:rsidRDefault="00786D2B">
        <w:pPr>
          <w:pStyle w:val="Footer"/>
          <w:jc w:val="center"/>
        </w:pPr>
        <w:r>
          <w:rPr>
            <w:noProof/>
          </w:rPr>
          <w:fldChar w:fldCharType="begin"/>
        </w:r>
        <w:r w:rsidR="00AA797E">
          <w:rPr>
            <w:noProof/>
          </w:rPr>
          <w:instrText xml:space="preserve"> PAGE   \* MERGEFORMAT </w:instrText>
        </w:r>
        <w:r>
          <w:rPr>
            <w:noProof/>
          </w:rPr>
          <w:fldChar w:fldCharType="separate"/>
        </w:r>
        <w:r w:rsidR="007F4ADD">
          <w:rPr>
            <w:noProof/>
          </w:rPr>
          <w:t>6</w:t>
        </w:r>
        <w:r>
          <w:rPr>
            <w:noProof/>
          </w:rPr>
          <w:fldChar w:fldCharType="end"/>
        </w:r>
      </w:p>
    </w:sdtContent>
  </w:sdt>
  <w:p w:rsidR="00143D67" w:rsidRDefault="00143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12B" w:rsidRDefault="006D112B" w:rsidP="00215B1C">
      <w:pPr>
        <w:spacing w:after="0" w:line="240" w:lineRule="auto"/>
      </w:pPr>
      <w:r>
        <w:separator/>
      </w:r>
    </w:p>
  </w:footnote>
  <w:footnote w:type="continuationSeparator" w:id="1">
    <w:p w:rsidR="006D112B" w:rsidRDefault="006D112B" w:rsidP="00215B1C">
      <w:pPr>
        <w:spacing w:after="0" w:line="240" w:lineRule="auto"/>
      </w:pPr>
      <w:r>
        <w:continuationSeparator/>
      </w:r>
    </w:p>
  </w:footnote>
  <w:footnote w:id="2">
    <w:p w:rsidR="00143D67" w:rsidRDefault="00143D67" w:rsidP="00055145">
      <w:pPr>
        <w:pStyle w:val="FootnoteText"/>
      </w:pPr>
      <w:r>
        <w:rPr>
          <w:rStyle w:val="FootnoteReference"/>
        </w:rPr>
        <w:footnoteRef/>
      </w:r>
      <w:r w:rsidR="00B54721">
        <w:rPr>
          <w:rFonts w:cstheme="minorHAnsi"/>
          <w:i/>
        </w:rPr>
        <w:t xml:space="preserve"> </w:t>
      </w:r>
      <w:r>
        <w:rPr>
          <w:rFonts w:cstheme="minorHAnsi"/>
          <w:i/>
        </w:rPr>
        <w:t>‘</w:t>
      </w:r>
      <w:r w:rsidRPr="00BD0D11">
        <w:rPr>
          <w:rFonts w:cstheme="minorHAnsi"/>
          <w:i/>
        </w:rPr>
        <w:t>Two Years on</w:t>
      </w:r>
      <w:r>
        <w:rPr>
          <w:rFonts w:cstheme="minorHAnsi"/>
          <w:i/>
        </w:rPr>
        <w:t xml:space="preserve">: Progress delivering the National Responsible Gambling Strategy’, </w:t>
      </w:r>
      <w:r w:rsidRPr="00B022F9">
        <w:rPr>
          <w:rFonts w:cstheme="minorHAnsi"/>
        </w:rPr>
        <w:t>RGSB,  April 2018</w:t>
      </w:r>
    </w:p>
  </w:footnote>
  <w:footnote w:id="3">
    <w:p w:rsidR="00143D67" w:rsidRPr="005222F9" w:rsidRDefault="00143D67">
      <w:pPr>
        <w:pStyle w:val="FootnoteText"/>
      </w:pPr>
      <w:r>
        <w:rPr>
          <w:rStyle w:val="FootnoteReference"/>
        </w:rPr>
        <w:footnoteRef/>
      </w:r>
      <w:r w:rsidRPr="005222F9">
        <w:t xml:space="preserve"> Ibid</w:t>
      </w:r>
    </w:p>
  </w:footnote>
  <w:footnote w:id="4">
    <w:p w:rsidR="00143D67" w:rsidRPr="005222F9" w:rsidRDefault="00143D67">
      <w:pPr>
        <w:pStyle w:val="FootnoteText"/>
      </w:pPr>
      <w:r>
        <w:rPr>
          <w:rStyle w:val="FootnoteReference"/>
        </w:rPr>
        <w:footnoteRef/>
      </w:r>
      <w:r w:rsidRPr="005222F9">
        <w:t xml:space="preserve"> Ibid</w:t>
      </w:r>
    </w:p>
  </w:footnote>
  <w:footnote w:id="5">
    <w:p w:rsidR="00143D67" w:rsidRPr="005222F9" w:rsidRDefault="00143D67" w:rsidP="00524D79">
      <w:pPr>
        <w:pStyle w:val="FootnoteText"/>
      </w:pPr>
      <w:r>
        <w:rPr>
          <w:rStyle w:val="FootnoteReference"/>
        </w:rPr>
        <w:footnoteRef/>
      </w:r>
      <w:r w:rsidR="00B54721">
        <w:t xml:space="preserve"> </w:t>
      </w:r>
      <w:hyperlink r:id="rId1" w:history="1">
        <w:r w:rsidRPr="005222F9">
          <w:rPr>
            <w:rStyle w:val="Hyperlink"/>
          </w:rPr>
          <w:t>https://www.google.com/search?client=firefox-b-d&amp;q=measuring+gambling-related+harms+a+framework+for+action</w:t>
        </w:r>
      </w:hyperlink>
    </w:p>
  </w:footnote>
  <w:footnote w:id="6">
    <w:p w:rsidR="00143D67" w:rsidRDefault="00143D67">
      <w:pPr>
        <w:pStyle w:val="FootnoteText"/>
      </w:pPr>
      <w:r>
        <w:rPr>
          <w:rStyle w:val="FootnoteReference"/>
        </w:rPr>
        <w:footnoteRef/>
      </w:r>
      <w:r>
        <w:t xml:space="preserve"> Ibid</w:t>
      </w:r>
    </w:p>
  </w:footnote>
  <w:footnote w:id="7">
    <w:p w:rsidR="00143D67" w:rsidRDefault="00143D67" w:rsidP="00785427">
      <w:pPr>
        <w:pStyle w:val="FootnoteText"/>
      </w:pPr>
      <w:r>
        <w:rPr>
          <w:rStyle w:val="FootnoteReference"/>
        </w:rPr>
        <w:footnoteRef/>
      </w:r>
      <w:r>
        <w:t xml:space="preserve"> ‘</w:t>
      </w:r>
      <w:r w:rsidRPr="00984322">
        <w:rPr>
          <w:rFonts w:eastAsia="Times New Roman" w:cstheme="minorHAnsi"/>
          <w:bCs/>
          <w:i/>
          <w:kern w:val="36"/>
          <w:lang w:eastAsia="en-GB"/>
        </w:rPr>
        <w:t>Beyond the Betting Shop: Youth, Masculinity and the Growth of Online Sports Gambling</w:t>
      </w:r>
      <w:r>
        <w:rPr>
          <w:rFonts w:eastAsia="Times New Roman" w:cstheme="minorHAnsi"/>
          <w:bCs/>
          <w:i/>
          <w:kern w:val="36"/>
          <w:lang w:eastAsia="en-GB"/>
        </w:rPr>
        <w:t xml:space="preserve">’, McGee, D, </w:t>
      </w:r>
      <w:r w:rsidR="0071724A">
        <w:rPr>
          <w:rFonts w:eastAsia="Times New Roman" w:cstheme="minorHAnsi"/>
          <w:bCs/>
          <w:i/>
          <w:kern w:val="36"/>
          <w:lang w:eastAsia="en-GB"/>
        </w:rPr>
        <w:t xml:space="preserve">   </w:t>
      </w:r>
      <w:hyperlink r:id="rId2" w:history="1">
        <w:r w:rsidRPr="00AF42B7">
          <w:rPr>
            <w:rStyle w:val="Hyperlink"/>
            <w:rFonts w:cstheme="minorHAnsi"/>
          </w:rPr>
          <w:t>https://www.theguardian.com/football/2019/jan/11/people-dying-campaign-gambling-public-health-concern</w:t>
        </w:r>
      </w:hyperlink>
    </w:p>
  </w:footnote>
  <w:footnote w:id="8">
    <w:p w:rsidR="00143D67" w:rsidRDefault="00143D67" w:rsidP="0020445B">
      <w:pPr>
        <w:pStyle w:val="FootnoteText"/>
      </w:pPr>
      <w:r>
        <w:rPr>
          <w:rStyle w:val="FootnoteReference"/>
        </w:rPr>
        <w:footnoteRef/>
      </w:r>
      <w:r w:rsidR="0071724A">
        <w:rPr>
          <w:sz w:val="22"/>
          <w:szCs w:val="22"/>
        </w:rPr>
        <w:t xml:space="preserve"> </w:t>
      </w:r>
      <w:r>
        <w:rPr>
          <w:sz w:val="22"/>
          <w:szCs w:val="22"/>
        </w:rPr>
        <w:t>‘</w:t>
      </w:r>
      <w:r w:rsidRPr="00D13DEB">
        <w:rPr>
          <w:rFonts w:eastAsia="Times New Roman" w:cstheme="minorHAnsi"/>
          <w:bCs/>
          <w:i/>
          <w:kern w:val="36"/>
          <w:lang w:eastAsia="en-GB"/>
        </w:rPr>
        <w:t>Tackling gambling related harm – a whole council approach’</w:t>
      </w:r>
      <w:r>
        <w:rPr>
          <w:sz w:val="22"/>
          <w:szCs w:val="22"/>
        </w:rPr>
        <w:t xml:space="preserve">, </w:t>
      </w:r>
      <w:r w:rsidRPr="00D13DEB">
        <w:t>Local Government Association, November 2018</w:t>
      </w:r>
    </w:p>
  </w:footnote>
  <w:footnote w:id="9">
    <w:p w:rsidR="00186295" w:rsidRDefault="00186295" w:rsidP="00186295">
      <w:pPr>
        <w:pStyle w:val="FootnoteText"/>
      </w:pPr>
      <w:r>
        <w:rPr>
          <w:rStyle w:val="FootnoteReference"/>
        </w:rPr>
        <w:footnoteRef/>
      </w:r>
      <w:r w:rsidR="0071724A">
        <w:t xml:space="preserve">  </w:t>
      </w:r>
      <w:hyperlink r:id="rId3" w:history="1">
        <w:r w:rsidR="0071724A" w:rsidRPr="00660175">
          <w:rPr>
            <w:rStyle w:val="Hyperlink"/>
          </w:rPr>
          <w:t>www.citizensadvice.org.uk/about-us/policy/policy-research-topics/consumer-policy-research/out-of-luck-an- exploration-of-the-causes-and-impacts-of-problem-gambling/</w:t>
        </w:r>
      </w:hyperlink>
    </w:p>
  </w:footnote>
  <w:footnote w:id="10">
    <w:p w:rsidR="00143D67" w:rsidRDefault="00143D67" w:rsidP="000B4C2A">
      <w:pPr>
        <w:pStyle w:val="FootnoteText"/>
        <w:ind w:left="142" w:hanging="142"/>
      </w:pPr>
      <w:r>
        <w:rPr>
          <w:rStyle w:val="FootnoteReference"/>
        </w:rPr>
        <w:footnoteRef/>
      </w:r>
      <w:r w:rsidR="0071724A">
        <w:rPr>
          <w:rFonts w:cstheme="minorHAnsi"/>
          <w:i/>
        </w:rPr>
        <w:t xml:space="preserve"> </w:t>
      </w:r>
      <w:r w:rsidRPr="00FC3E48">
        <w:rPr>
          <w:rFonts w:cstheme="minorHAnsi"/>
          <w:i/>
        </w:rPr>
        <w:t>‘Families Living with Problem Gambling: Impacts, Coping Strategies and Help-Seeking’</w:t>
      </w:r>
      <w:r>
        <w:rPr>
          <w:rFonts w:cstheme="minorHAnsi"/>
          <w:i/>
        </w:rPr>
        <w:t xml:space="preserve">, </w:t>
      </w:r>
      <w:r>
        <w:rPr>
          <w:rFonts w:cstheme="minorHAnsi"/>
        </w:rPr>
        <w:t xml:space="preserve">Banks, J; Andersson, C; Best, D; Edwards, M; Waters, J., October 2018. </w:t>
      </w:r>
    </w:p>
  </w:footnote>
  <w:footnote w:id="11">
    <w:p w:rsidR="00597EBC" w:rsidRDefault="00597EBC">
      <w:pPr>
        <w:pStyle w:val="FootnoteText"/>
      </w:pPr>
      <w:r>
        <w:rPr>
          <w:rStyle w:val="FootnoteReference"/>
        </w:rPr>
        <w:footnoteRef/>
      </w:r>
      <w:r>
        <w:t xml:space="preserve"> Research Programme 2018-22, Gambling Commission </w:t>
      </w:r>
    </w:p>
  </w:footnote>
  <w:footnote w:id="12">
    <w:p w:rsidR="00163DF3" w:rsidRDefault="00163DF3" w:rsidP="0071724A">
      <w:pPr>
        <w:pStyle w:val="FootnoteText"/>
        <w:ind w:left="142" w:hanging="142"/>
      </w:pPr>
      <w:r>
        <w:rPr>
          <w:rStyle w:val="FootnoteReference"/>
        </w:rPr>
        <w:footnoteRef/>
      </w:r>
      <w:r w:rsidR="0071724A">
        <w:t xml:space="preserve"> </w:t>
      </w:r>
      <w:hyperlink r:id="rId4" w:history="1">
        <w:r w:rsidRPr="0061700C">
          <w:rPr>
            <w:rStyle w:val="Hyperlink"/>
          </w:rPr>
          <w:t>https://www.rsph.org.uk/about-us/news/rsph-and-gambleaware-join-forces-to-establish-a-gambling-health-alliance.html</w:t>
        </w:r>
      </w:hyperlink>
    </w:p>
  </w:footnote>
  <w:footnote w:id="13">
    <w:p w:rsidR="00143D67" w:rsidRDefault="00143D67" w:rsidP="0030069B">
      <w:pPr>
        <w:pStyle w:val="FootnoteText"/>
      </w:pPr>
      <w:r>
        <w:rPr>
          <w:rStyle w:val="FootnoteReference"/>
        </w:rPr>
        <w:footnoteRef/>
      </w:r>
      <w:hyperlink r:id="rId5" w:history="1">
        <w:r w:rsidRPr="00E15267">
          <w:rPr>
            <w:rStyle w:val="Hyperlink"/>
          </w:rPr>
          <w:t>https://www.google.com/search?client=firefox-b-d&amp;q=RGSB+Evaluation+Protocol</w:t>
        </w:r>
      </w:hyperlink>
    </w:p>
  </w:footnote>
  <w:footnote w:id="14">
    <w:p w:rsidR="00143D67" w:rsidRDefault="00143D67" w:rsidP="0030069B">
      <w:pPr>
        <w:pStyle w:val="FootnoteText"/>
        <w:ind w:left="142" w:hanging="142"/>
      </w:pPr>
      <w:r>
        <w:rPr>
          <w:rStyle w:val="FootnoteReference"/>
        </w:rPr>
        <w:footnoteRef/>
      </w:r>
      <w:hyperlink r:id="rId6" w:history="1">
        <w:r w:rsidRPr="00E15267">
          <w:rPr>
            <w:rStyle w:val="Hyperlink"/>
          </w:rPr>
          <w:t>https://about.gambleaware.org/research/evaluation/resources-to-support-the-gambling-industry-to-do-evaluation/</w:t>
        </w:r>
      </w:hyperlink>
    </w:p>
  </w:footnote>
  <w:footnote w:id="15">
    <w:p w:rsidR="00143D67" w:rsidRDefault="00143D67" w:rsidP="0030069B">
      <w:pPr>
        <w:pStyle w:val="FootnoteText"/>
      </w:pPr>
      <w:r>
        <w:rPr>
          <w:rStyle w:val="FootnoteReference"/>
        </w:rPr>
        <w:footnoteRef/>
      </w:r>
      <w:r>
        <w:t xml:space="preserve"> Ibid</w:t>
      </w:r>
    </w:p>
  </w:footnote>
  <w:footnote w:id="16">
    <w:p w:rsidR="00143D67" w:rsidRDefault="00143D67" w:rsidP="0030069B">
      <w:pPr>
        <w:pStyle w:val="FootnoteText"/>
      </w:pPr>
      <w:r>
        <w:rPr>
          <w:rStyle w:val="FootnoteReference"/>
        </w:rPr>
        <w:footnoteRef/>
      </w:r>
      <w:r>
        <w:t xml:space="preserve"> Gambling Commission Strategy (2018-21).</w:t>
      </w:r>
    </w:p>
  </w:footnote>
  <w:footnote w:id="17">
    <w:p w:rsidR="00163DF3" w:rsidRDefault="00163DF3" w:rsidP="00163DF3">
      <w:pPr>
        <w:pStyle w:val="FootnoteText"/>
      </w:pPr>
      <w:r>
        <w:rPr>
          <w:rStyle w:val="FootnoteReference"/>
        </w:rPr>
        <w:footnoteRef/>
      </w:r>
      <w:r w:rsidR="00767EC5">
        <w:t xml:space="preserve"> </w:t>
      </w:r>
      <w:r>
        <w:t xml:space="preserve"> </w:t>
      </w:r>
      <w:hyperlink r:id="rId7" w:tgtFrame="_blank" w:history="1">
        <w:r>
          <w:rPr>
            <w:rStyle w:val="Hyperlink"/>
          </w:rPr>
          <w:t>https://www.rgsb.org.uk/PDF/RGSB-advice-on-remote-gambling.pdf</w:t>
        </w:r>
      </w:hyperlink>
    </w:p>
  </w:footnote>
  <w:footnote w:id="18">
    <w:p w:rsidR="00BD5E22" w:rsidRPr="00BD5E22" w:rsidRDefault="00BD5E22" w:rsidP="00BD5E22">
      <w:pPr>
        <w:autoSpaceDE w:val="0"/>
        <w:autoSpaceDN w:val="0"/>
        <w:adjustRightInd w:val="0"/>
        <w:spacing w:after="0" w:line="240" w:lineRule="auto"/>
        <w:rPr>
          <w:sz w:val="20"/>
          <w:szCs w:val="20"/>
        </w:rPr>
      </w:pPr>
      <w:r>
        <w:rPr>
          <w:rStyle w:val="FootnoteReference"/>
        </w:rPr>
        <w:footnoteRef/>
      </w:r>
      <w:r>
        <w:t xml:space="preserve"> ‘</w:t>
      </w:r>
      <w:r w:rsidRPr="00BD5E22">
        <w:rPr>
          <w:sz w:val="20"/>
          <w:szCs w:val="20"/>
        </w:rPr>
        <w:t>Key issues in Product Harm Minimisation - Examining theory, evidence and policy issues relevant in</w:t>
      </w:r>
    </w:p>
    <w:p w:rsidR="00BD5E22" w:rsidRDefault="00767EC5" w:rsidP="00767EC5">
      <w:pPr>
        <w:pStyle w:val="FootnoteText"/>
      </w:pPr>
      <w:r>
        <w:t xml:space="preserve">     </w:t>
      </w:r>
      <w:r w:rsidR="00BD5E22" w:rsidRPr="00BD5E22">
        <w:t>Great Britain</w:t>
      </w:r>
      <w:r w:rsidR="00BD5E22">
        <w:t xml:space="preserve">’, </w:t>
      </w:r>
      <w:r w:rsidR="00BD5E22" w:rsidRPr="00BD5E22">
        <w:t>Parke J, Parke A, Alex Blaszczynski, A</w:t>
      </w:r>
      <w:r w:rsidR="00BD5E22">
        <w:t>, GambleAware, December 2016.</w:t>
      </w:r>
    </w:p>
  </w:footnote>
  <w:footnote w:id="19">
    <w:p w:rsidR="00143D67" w:rsidRDefault="00143D67" w:rsidP="0030069B">
      <w:pPr>
        <w:pStyle w:val="FootnoteText"/>
      </w:pPr>
      <w:r>
        <w:rPr>
          <w:rStyle w:val="FootnoteReference"/>
        </w:rPr>
        <w:footnoteRef/>
      </w:r>
      <w:r>
        <w:t xml:space="preserve"> </w:t>
      </w:r>
      <w:r w:rsidR="00767EC5">
        <w:t xml:space="preserve"> </w:t>
      </w:r>
      <w:r>
        <w:t>Strategic Delivery Plan 2018-20, GambleAware</w:t>
      </w:r>
    </w:p>
  </w:footnote>
  <w:footnote w:id="20">
    <w:p w:rsidR="00143D67" w:rsidRPr="00E105B2" w:rsidRDefault="00143D67">
      <w:pPr>
        <w:pStyle w:val="FootnoteText"/>
      </w:pPr>
      <w:r>
        <w:rPr>
          <w:rStyle w:val="FootnoteReference"/>
        </w:rPr>
        <w:footnoteRef/>
      </w:r>
      <w:r w:rsidR="00767EC5">
        <w:t xml:space="preserve"> </w:t>
      </w:r>
      <w:hyperlink r:id="rId8" w:history="1">
        <w:r w:rsidRPr="00DB1754">
          <w:rPr>
            <w:rStyle w:val="Hyperlink"/>
          </w:rPr>
          <w:t>https://www.pgf.nz/fact-sheet---gambling-in-new-zealand.html</w:t>
        </w:r>
      </w:hyperlink>
    </w:p>
  </w:footnote>
  <w:footnote w:id="21">
    <w:p w:rsidR="00143D67" w:rsidRPr="00455512" w:rsidRDefault="00143D67" w:rsidP="004027C3">
      <w:pPr>
        <w:pStyle w:val="FootnoteText"/>
      </w:pPr>
      <w:r>
        <w:rPr>
          <w:rStyle w:val="FootnoteReference"/>
        </w:rPr>
        <w:footnoteRef/>
      </w:r>
      <w:r w:rsidR="00767EC5" w:rsidRPr="00455512">
        <w:t xml:space="preserve"> </w:t>
      </w:r>
      <w:r w:rsidRPr="00455512">
        <w:t>Ibid</w:t>
      </w:r>
    </w:p>
  </w:footnote>
  <w:footnote w:id="22">
    <w:p w:rsidR="00AB0153" w:rsidRDefault="00AB0153" w:rsidP="00767EC5">
      <w:pPr>
        <w:pStyle w:val="FootnoteText"/>
        <w:ind w:left="142" w:hanging="142"/>
      </w:pPr>
      <w:r>
        <w:rPr>
          <w:rStyle w:val="FootnoteReference"/>
        </w:rPr>
        <w:footnoteRef/>
      </w:r>
      <w:r>
        <w:t xml:space="preserve"> </w:t>
      </w:r>
      <w:r w:rsidRPr="00AB0153">
        <w:rPr>
          <w:bCs/>
        </w:rPr>
        <w:t>Advice from Responsible Gambling Strategy Board on online gambling</w:t>
      </w:r>
      <w:r>
        <w:rPr>
          <w:bCs/>
        </w:rPr>
        <w:t>, Appendix C, Review of Online Gambling, Gambling Commission, March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588"/>
    <w:multiLevelType w:val="hybridMultilevel"/>
    <w:tmpl w:val="F7E84A0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9DE4C17"/>
    <w:multiLevelType w:val="hybridMultilevel"/>
    <w:tmpl w:val="C964AB28"/>
    <w:lvl w:ilvl="0" w:tplc="0809000F">
      <w:start w:val="1"/>
      <w:numFmt w:val="decimal"/>
      <w:lvlText w:val="%1."/>
      <w:lvlJc w:val="left"/>
      <w:pPr>
        <w:ind w:left="5004" w:hanging="360"/>
      </w:pPr>
    </w:lvl>
    <w:lvl w:ilvl="1" w:tplc="08090019" w:tentative="1">
      <w:start w:val="1"/>
      <w:numFmt w:val="lowerLetter"/>
      <w:lvlText w:val="%2."/>
      <w:lvlJc w:val="left"/>
      <w:pPr>
        <w:ind w:left="5724" w:hanging="360"/>
      </w:pPr>
    </w:lvl>
    <w:lvl w:ilvl="2" w:tplc="0809001B" w:tentative="1">
      <w:start w:val="1"/>
      <w:numFmt w:val="lowerRoman"/>
      <w:lvlText w:val="%3."/>
      <w:lvlJc w:val="right"/>
      <w:pPr>
        <w:ind w:left="6444" w:hanging="180"/>
      </w:pPr>
    </w:lvl>
    <w:lvl w:ilvl="3" w:tplc="0809000F" w:tentative="1">
      <w:start w:val="1"/>
      <w:numFmt w:val="decimal"/>
      <w:lvlText w:val="%4."/>
      <w:lvlJc w:val="left"/>
      <w:pPr>
        <w:ind w:left="7164" w:hanging="360"/>
      </w:pPr>
    </w:lvl>
    <w:lvl w:ilvl="4" w:tplc="08090019" w:tentative="1">
      <w:start w:val="1"/>
      <w:numFmt w:val="lowerLetter"/>
      <w:lvlText w:val="%5."/>
      <w:lvlJc w:val="left"/>
      <w:pPr>
        <w:ind w:left="7884" w:hanging="360"/>
      </w:pPr>
    </w:lvl>
    <w:lvl w:ilvl="5" w:tplc="0809001B" w:tentative="1">
      <w:start w:val="1"/>
      <w:numFmt w:val="lowerRoman"/>
      <w:lvlText w:val="%6."/>
      <w:lvlJc w:val="right"/>
      <w:pPr>
        <w:ind w:left="8604" w:hanging="180"/>
      </w:pPr>
    </w:lvl>
    <w:lvl w:ilvl="6" w:tplc="0809000F" w:tentative="1">
      <w:start w:val="1"/>
      <w:numFmt w:val="decimal"/>
      <w:lvlText w:val="%7."/>
      <w:lvlJc w:val="left"/>
      <w:pPr>
        <w:ind w:left="9324" w:hanging="360"/>
      </w:pPr>
    </w:lvl>
    <w:lvl w:ilvl="7" w:tplc="08090019" w:tentative="1">
      <w:start w:val="1"/>
      <w:numFmt w:val="lowerLetter"/>
      <w:lvlText w:val="%8."/>
      <w:lvlJc w:val="left"/>
      <w:pPr>
        <w:ind w:left="10044" w:hanging="360"/>
      </w:pPr>
    </w:lvl>
    <w:lvl w:ilvl="8" w:tplc="0809001B" w:tentative="1">
      <w:start w:val="1"/>
      <w:numFmt w:val="lowerRoman"/>
      <w:lvlText w:val="%9."/>
      <w:lvlJc w:val="right"/>
      <w:pPr>
        <w:ind w:left="10764" w:hanging="180"/>
      </w:pPr>
    </w:lvl>
  </w:abstractNum>
  <w:abstractNum w:abstractNumId="2">
    <w:nsid w:val="0F1C6850"/>
    <w:multiLevelType w:val="hybridMultilevel"/>
    <w:tmpl w:val="51AEE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37B70"/>
    <w:multiLevelType w:val="hybridMultilevel"/>
    <w:tmpl w:val="7DEA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86FDB"/>
    <w:multiLevelType w:val="hybridMultilevel"/>
    <w:tmpl w:val="C26A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561E73"/>
    <w:multiLevelType w:val="hybridMultilevel"/>
    <w:tmpl w:val="AD32D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10256D"/>
    <w:multiLevelType w:val="hybridMultilevel"/>
    <w:tmpl w:val="F25A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242C45"/>
    <w:multiLevelType w:val="hybridMultilevel"/>
    <w:tmpl w:val="E6A6EE86"/>
    <w:lvl w:ilvl="0" w:tplc="094CEF24">
      <w:start w:val="1"/>
      <w:numFmt w:val="decimal"/>
      <w:lvlText w:val="%1."/>
      <w:lvlJc w:val="left"/>
      <w:pPr>
        <w:ind w:left="360" w:hanging="360"/>
      </w:pPr>
      <w:rPr>
        <w:rFonts w:ascii="Arial" w:hAnsi="Arial" w:cs="Arial" w:hint="default"/>
        <w:b w:val="0"/>
        <w:color w:val="auto"/>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64E302A"/>
    <w:multiLevelType w:val="hybridMultilevel"/>
    <w:tmpl w:val="EDBCCD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E7C68"/>
    <w:multiLevelType w:val="hybridMultilevel"/>
    <w:tmpl w:val="DE4E069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CD3F67"/>
    <w:multiLevelType w:val="hybridMultilevel"/>
    <w:tmpl w:val="12BC3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4"/>
  </w:num>
  <w:num w:numId="5">
    <w:abstractNumId w:val="8"/>
  </w:num>
  <w:num w:numId="6">
    <w:abstractNumId w:val="3"/>
  </w:num>
  <w:num w:numId="7">
    <w:abstractNumId w:val="5"/>
  </w:num>
  <w:num w:numId="8">
    <w:abstractNumId w:val="6"/>
  </w:num>
  <w:num w:numId="9">
    <w:abstractNumId w:val="10"/>
  </w:num>
  <w:num w:numId="10">
    <w:abstractNumId w:val="2"/>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Loft">
    <w15:presenceInfo w15:providerId="None" w15:userId="Eva Lof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2A6D"/>
    <w:rsid w:val="000155EA"/>
    <w:rsid w:val="0001767F"/>
    <w:rsid w:val="000228DA"/>
    <w:rsid w:val="00033BCF"/>
    <w:rsid w:val="00052C66"/>
    <w:rsid w:val="00053A77"/>
    <w:rsid w:val="00053ECC"/>
    <w:rsid w:val="00055145"/>
    <w:rsid w:val="00071CC7"/>
    <w:rsid w:val="00084CE1"/>
    <w:rsid w:val="000A45E6"/>
    <w:rsid w:val="000A63BB"/>
    <w:rsid w:val="000A6E94"/>
    <w:rsid w:val="000B3C1E"/>
    <w:rsid w:val="000B4C2A"/>
    <w:rsid w:val="000B7397"/>
    <w:rsid w:val="000C5476"/>
    <w:rsid w:val="000D0C83"/>
    <w:rsid w:val="000E7FF6"/>
    <w:rsid w:val="000F21C8"/>
    <w:rsid w:val="000F6E86"/>
    <w:rsid w:val="000F7D0C"/>
    <w:rsid w:val="001068C4"/>
    <w:rsid w:val="001145C7"/>
    <w:rsid w:val="00140DA4"/>
    <w:rsid w:val="00143D67"/>
    <w:rsid w:val="00146D7C"/>
    <w:rsid w:val="00155486"/>
    <w:rsid w:val="001576F4"/>
    <w:rsid w:val="00163DF3"/>
    <w:rsid w:val="001700C9"/>
    <w:rsid w:val="001814AB"/>
    <w:rsid w:val="00186295"/>
    <w:rsid w:val="0018655D"/>
    <w:rsid w:val="00196842"/>
    <w:rsid w:val="001A4A0D"/>
    <w:rsid w:val="001A4F7F"/>
    <w:rsid w:val="001B0AB1"/>
    <w:rsid w:val="001E6391"/>
    <w:rsid w:val="001F14AF"/>
    <w:rsid w:val="0020215B"/>
    <w:rsid w:val="0020445B"/>
    <w:rsid w:val="00214108"/>
    <w:rsid w:val="00215B1C"/>
    <w:rsid w:val="00216733"/>
    <w:rsid w:val="002201FD"/>
    <w:rsid w:val="00221E91"/>
    <w:rsid w:val="00223002"/>
    <w:rsid w:val="00237356"/>
    <w:rsid w:val="002459AA"/>
    <w:rsid w:val="0024735F"/>
    <w:rsid w:val="00257A9E"/>
    <w:rsid w:val="00263E8D"/>
    <w:rsid w:val="00267683"/>
    <w:rsid w:val="002A013F"/>
    <w:rsid w:val="002B0EE9"/>
    <w:rsid w:val="002D4B64"/>
    <w:rsid w:val="0030069B"/>
    <w:rsid w:val="00301968"/>
    <w:rsid w:val="00316F67"/>
    <w:rsid w:val="00322D7D"/>
    <w:rsid w:val="00352B11"/>
    <w:rsid w:val="00362085"/>
    <w:rsid w:val="00362977"/>
    <w:rsid w:val="00381557"/>
    <w:rsid w:val="003833CD"/>
    <w:rsid w:val="0038705E"/>
    <w:rsid w:val="00390445"/>
    <w:rsid w:val="00391792"/>
    <w:rsid w:val="00393344"/>
    <w:rsid w:val="00396E87"/>
    <w:rsid w:val="003B56B1"/>
    <w:rsid w:val="003B5CD1"/>
    <w:rsid w:val="003B7A82"/>
    <w:rsid w:val="003E038C"/>
    <w:rsid w:val="003E326D"/>
    <w:rsid w:val="003F0ED4"/>
    <w:rsid w:val="003F0EDB"/>
    <w:rsid w:val="003F6BFC"/>
    <w:rsid w:val="004027C3"/>
    <w:rsid w:val="004102B3"/>
    <w:rsid w:val="00416879"/>
    <w:rsid w:val="00427C10"/>
    <w:rsid w:val="00432F9D"/>
    <w:rsid w:val="00441A87"/>
    <w:rsid w:val="00443F2E"/>
    <w:rsid w:val="00455512"/>
    <w:rsid w:val="004605B1"/>
    <w:rsid w:val="00475917"/>
    <w:rsid w:val="0048502D"/>
    <w:rsid w:val="004A2B5A"/>
    <w:rsid w:val="004A72D1"/>
    <w:rsid w:val="004B02CD"/>
    <w:rsid w:val="004B405E"/>
    <w:rsid w:val="004B5C1B"/>
    <w:rsid w:val="004B5CED"/>
    <w:rsid w:val="004C5A62"/>
    <w:rsid w:val="004C70B4"/>
    <w:rsid w:val="004D1244"/>
    <w:rsid w:val="004F7031"/>
    <w:rsid w:val="004F74A8"/>
    <w:rsid w:val="00501BFC"/>
    <w:rsid w:val="00511532"/>
    <w:rsid w:val="00511B46"/>
    <w:rsid w:val="005222F9"/>
    <w:rsid w:val="00524D79"/>
    <w:rsid w:val="00531A6E"/>
    <w:rsid w:val="00532169"/>
    <w:rsid w:val="00535C1B"/>
    <w:rsid w:val="005510D9"/>
    <w:rsid w:val="005751D4"/>
    <w:rsid w:val="00585800"/>
    <w:rsid w:val="00586DBC"/>
    <w:rsid w:val="005952DB"/>
    <w:rsid w:val="00595474"/>
    <w:rsid w:val="00595E0A"/>
    <w:rsid w:val="0059742C"/>
    <w:rsid w:val="00597EBC"/>
    <w:rsid w:val="005A498D"/>
    <w:rsid w:val="005B064B"/>
    <w:rsid w:val="005B6AAA"/>
    <w:rsid w:val="005D1EF8"/>
    <w:rsid w:val="005E0490"/>
    <w:rsid w:val="005E60C1"/>
    <w:rsid w:val="005F276F"/>
    <w:rsid w:val="005F6651"/>
    <w:rsid w:val="005F681F"/>
    <w:rsid w:val="0060035D"/>
    <w:rsid w:val="00600A59"/>
    <w:rsid w:val="00601D27"/>
    <w:rsid w:val="00604A77"/>
    <w:rsid w:val="006154FC"/>
    <w:rsid w:val="00622FE7"/>
    <w:rsid w:val="00631D92"/>
    <w:rsid w:val="00632DCA"/>
    <w:rsid w:val="00647632"/>
    <w:rsid w:val="0066366D"/>
    <w:rsid w:val="00667A36"/>
    <w:rsid w:val="006809E6"/>
    <w:rsid w:val="00696326"/>
    <w:rsid w:val="006C4A6D"/>
    <w:rsid w:val="006C63E9"/>
    <w:rsid w:val="006D112B"/>
    <w:rsid w:val="006E457E"/>
    <w:rsid w:val="006E798E"/>
    <w:rsid w:val="00700E50"/>
    <w:rsid w:val="00704B37"/>
    <w:rsid w:val="00712B89"/>
    <w:rsid w:val="0071724A"/>
    <w:rsid w:val="00722814"/>
    <w:rsid w:val="00751162"/>
    <w:rsid w:val="007554C6"/>
    <w:rsid w:val="00766C25"/>
    <w:rsid w:val="00767EC5"/>
    <w:rsid w:val="0077221A"/>
    <w:rsid w:val="00773557"/>
    <w:rsid w:val="00775F30"/>
    <w:rsid w:val="00777A2C"/>
    <w:rsid w:val="00784B8A"/>
    <w:rsid w:val="00785427"/>
    <w:rsid w:val="00786D2B"/>
    <w:rsid w:val="00794E12"/>
    <w:rsid w:val="007A06FF"/>
    <w:rsid w:val="007A76BF"/>
    <w:rsid w:val="007B1030"/>
    <w:rsid w:val="007B5B76"/>
    <w:rsid w:val="007C7227"/>
    <w:rsid w:val="007C7D1A"/>
    <w:rsid w:val="007D5EFC"/>
    <w:rsid w:val="007D7AD8"/>
    <w:rsid w:val="007E2EBC"/>
    <w:rsid w:val="007F4116"/>
    <w:rsid w:val="007F4ADD"/>
    <w:rsid w:val="007F4BA2"/>
    <w:rsid w:val="007F7562"/>
    <w:rsid w:val="008206AB"/>
    <w:rsid w:val="00822439"/>
    <w:rsid w:val="008324AB"/>
    <w:rsid w:val="008360A2"/>
    <w:rsid w:val="00842E31"/>
    <w:rsid w:val="0086203D"/>
    <w:rsid w:val="008645FC"/>
    <w:rsid w:val="00864BB9"/>
    <w:rsid w:val="008704C0"/>
    <w:rsid w:val="00873D20"/>
    <w:rsid w:val="00873F7F"/>
    <w:rsid w:val="008773D9"/>
    <w:rsid w:val="008804DB"/>
    <w:rsid w:val="008A0F95"/>
    <w:rsid w:val="008A242C"/>
    <w:rsid w:val="008A7865"/>
    <w:rsid w:val="008D2E3A"/>
    <w:rsid w:val="008E1898"/>
    <w:rsid w:val="008E22F4"/>
    <w:rsid w:val="008F09FF"/>
    <w:rsid w:val="008F75B0"/>
    <w:rsid w:val="009068D0"/>
    <w:rsid w:val="00915D74"/>
    <w:rsid w:val="00916D85"/>
    <w:rsid w:val="00920BD3"/>
    <w:rsid w:val="00933EA7"/>
    <w:rsid w:val="00940597"/>
    <w:rsid w:val="00952A8A"/>
    <w:rsid w:val="00957527"/>
    <w:rsid w:val="00961864"/>
    <w:rsid w:val="00971FB1"/>
    <w:rsid w:val="00976877"/>
    <w:rsid w:val="0098013E"/>
    <w:rsid w:val="00984322"/>
    <w:rsid w:val="00992CCD"/>
    <w:rsid w:val="009A4C82"/>
    <w:rsid w:val="009B038E"/>
    <w:rsid w:val="009D1FC9"/>
    <w:rsid w:val="009D49BC"/>
    <w:rsid w:val="009E15E0"/>
    <w:rsid w:val="009F3639"/>
    <w:rsid w:val="009F7620"/>
    <w:rsid w:val="009F7774"/>
    <w:rsid w:val="00A12D0E"/>
    <w:rsid w:val="00A239F0"/>
    <w:rsid w:val="00A34DAD"/>
    <w:rsid w:val="00A50186"/>
    <w:rsid w:val="00A6039E"/>
    <w:rsid w:val="00A80A00"/>
    <w:rsid w:val="00A83922"/>
    <w:rsid w:val="00A861AC"/>
    <w:rsid w:val="00AA2440"/>
    <w:rsid w:val="00AA3CBB"/>
    <w:rsid w:val="00AA797E"/>
    <w:rsid w:val="00AB0153"/>
    <w:rsid w:val="00AB1595"/>
    <w:rsid w:val="00AB2A3E"/>
    <w:rsid w:val="00AB7BE8"/>
    <w:rsid w:val="00AE4754"/>
    <w:rsid w:val="00AE52AF"/>
    <w:rsid w:val="00AE5801"/>
    <w:rsid w:val="00AE5D3C"/>
    <w:rsid w:val="00B00A48"/>
    <w:rsid w:val="00B022F9"/>
    <w:rsid w:val="00B05891"/>
    <w:rsid w:val="00B144F7"/>
    <w:rsid w:val="00B15819"/>
    <w:rsid w:val="00B212A9"/>
    <w:rsid w:val="00B3238D"/>
    <w:rsid w:val="00B323F6"/>
    <w:rsid w:val="00B3353F"/>
    <w:rsid w:val="00B40B86"/>
    <w:rsid w:val="00B473F0"/>
    <w:rsid w:val="00B53F67"/>
    <w:rsid w:val="00B54721"/>
    <w:rsid w:val="00B552A3"/>
    <w:rsid w:val="00B66540"/>
    <w:rsid w:val="00B7703B"/>
    <w:rsid w:val="00B8468D"/>
    <w:rsid w:val="00BA2086"/>
    <w:rsid w:val="00BA369A"/>
    <w:rsid w:val="00BA74E0"/>
    <w:rsid w:val="00BC5930"/>
    <w:rsid w:val="00BC7CA4"/>
    <w:rsid w:val="00BC7DA3"/>
    <w:rsid w:val="00BD0D11"/>
    <w:rsid w:val="00BD5E22"/>
    <w:rsid w:val="00BE042A"/>
    <w:rsid w:val="00BE1E4F"/>
    <w:rsid w:val="00BE2A6D"/>
    <w:rsid w:val="00BE7F42"/>
    <w:rsid w:val="00BF15B3"/>
    <w:rsid w:val="00C0146C"/>
    <w:rsid w:val="00C01C54"/>
    <w:rsid w:val="00C046D0"/>
    <w:rsid w:val="00C06C8E"/>
    <w:rsid w:val="00C10B02"/>
    <w:rsid w:val="00C37499"/>
    <w:rsid w:val="00C47167"/>
    <w:rsid w:val="00C521E5"/>
    <w:rsid w:val="00C528B9"/>
    <w:rsid w:val="00C666B1"/>
    <w:rsid w:val="00C70455"/>
    <w:rsid w:val="00C76C8E"/>
    <w:rsid w:val="00C8633D"/>
    <w:rsid w:val="00CA07D2"/>
    <w:rsid w:val="00CB05AA"/>
    <w:rsid w:val="00CB0980"/>
    <w:rsid w:val="00CB5EB3"/>
    <w:rsid w:val="00CC1C33"/>
    <w:rsid w:val="00CD158B"/>
    <w:rsid w:val="00CE08BA"/>
    <w:rsid w:val="00CF4C13"/>
    <w:rsid w:val="00CF777C"/>
    <w:rsid w:val="00D1044C"/>
    <w:rsid w:val="00D13DEB"/>
    <w:rsid w:val="00D2140D"/>
    <w:rsid w:val="00D232FA"/>
    <w:rsid w:val="00D518E6"/>
    <w:rsid w:val="00D53CFE"/>
    <w:rsid w:val="00D661D6"/>
    <w:rsid w:val="00D70BF6"/>
    <w:rsid w:val="00D8729C"/>
    <w:rsid w:val="00DA2CCD"/>
    <w:rsid w:val="00DC1398"/>
    <w:rsid w:val="00DC43CB"/>
    <w:rsid w:val="00DC4CB1"/>
    <w:rsid w:val="00DC58CB"/>
    <w:rsid w:val="00DD5108"/>
    <w:rsid w:val="00E01B7E"/>
    <w:rsid w:val="00E041CC"/>
    <w:rsid w:val="00E06125"/>
    <w:rsid w:val="00E105B2"/>
    <w:rsid w:val="00E20B15"/>
    <w:rsid w:val="00E3396D"/>
    <w:rsid w:val="00E50A6B"/>
    <w:rsid w:val="00E5474A"/>
    <w:rsid w:val="00E659A8"/>
    <w:rsid w:val="00E66A33"/>
    <w:rsid w:val="00E676DE"/>
    <w:rsid w:val="00E741C0"/>
    <w:rsid w:val="00E759B8"/>
    <w:rsid w:val="00E76915"/>
    <w:rsid w:val="00E76F89"/>
    <w:rsid w:val="00E84439"/>
    <w:rsid w:val="00E86C08"/>
    <w:rsid w:val="00EA358B"/>
    <w:rsid w:val="00EB209A"/>
    <w:rsid w:val="00EB2B19"/>
    <w:rsid w:val="00EB5566"/>
    <w:rsid w:val="00ED4288"/>
    <w:rsid w:val="00EF50D1"/>
    <w:rsid w:val="00F22B0E"/>
    <w:rsid w:val="00F27DAA"/>
    <w:rsid w:val="00F314FC"/>
    <w:rsid w:val="00F3348C"/>
    <w:rsid w:val="00F445C0"/>
    <w:rsid w:val="00F46538"/>
    <w:rsid w:val="00F46EC8"/>
    <w:rsid w:val="00F50F17"/>
    <w:rsid w:val="00F5378A"/>
    <w:rsid w:val="00F6690F"/>
    <w:rsid w:val="00F861C5"/>
    <w:rsid w:val="00F979A8"/>
    <w:rsid w:val="00FA663D"/>
    <w:rsid w:val="00FB45AD"/>
    <w:rsid w:val="00FC2ECD"/>
    <w:rsid w:val="00FC3E48"/>
    <w:rsid w:val="00FC7C7A"/>
    <w:rsid w:val="00FD040B"/>
    <w:rsid w:val="00FD079F"/>
    <w:rsid w:val="00FE1B64"/>
    <w:rsid w:val="00FF2458"/>
    <w:rsid w:val="00FF334D"/>
    <w:rsid w:val="00FF6E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F6"/>
  </w:style>
  <w:style w:type="paragraph" w:styleId="Heading1">
    <w:name w:val="heading 1"/>
    <w:basedOn w:val="Normal"/>
    <w:link w:val="Heading1Char"/>
    <w:uiPriority w:val="9"/>
    <w:qFormat/>
    <w:rsid w:val="00215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6D"/>
    <w:pPr>
      <w:ind w:left="720"/>
      <w:contextualSpacing/>
    </w:pPr>
  </w:style>
  <w:style w:type="paragraph" w:customStyle="1" w:styleId="ReturnAddress">
    <w:name w:val="Return Address"/>
    <w:basedOn w:val="Normal"/>
    <w:qFormat/>
    <w:rsid w:val="00DC1398"/>
    <w:pPr>
      <w:keepLines/>
      <w:tabs>
        <w:tab w:val="left" w:pos="2160"/>
      </w:tabs>
      <w:suppressAutoHyphens/>
      <w:overflowPunct w:val="0"/>
      <w:spacing w:after="0" w:line="160" w:lineRule="atLeast"/>
    </w:pPr>
    <w:rPr>
      <w:rFonts w:ascii="Arial" w:eastAsia="Times New Roman" w:hAnsi="Arial" w:cs="Arial"/>
      <w:color w:val="00000A"/>
      <w:sz w:val="14"/>
      <w:szCs w:val="20"/>
      <w:lang w:eastAsia="zh-CN"/>
    </w:rPr>
  </w:style>
  <w:style w:type="character" w:styleId="Hyperlink">
    <w:name w:val="Hyperlink"/>
    <w:basedOn w:val="DefaultParagraphFont"/>
    <w:uiPriority w:val="99"/>
    <w:unhideWhenUsed/>
    <w:rsid w:val="00DC1398"/>
    <w:rPr>
      <w:color w:val="0000FF" w:themeColor="hyperlink"/>
      <w:u w:val="single"/>
    </w:rPr>
  </w:style>
  <w:style w:type="character" w:customStyle="1" w:styleId="Heading1Char">
    <w:name w:val="Heading 1 Char"/>
    <w:basedOn w:val="DefaultParagraphFont"/>
    <w:link w:val="Heading1"/>
    <w:uiPriority w:val="9"/>
    <w:rsid w:val="00215B1C"/>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215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B1C"/>
    <w:rPr>
      <w:sz w:val="20"/>
      <w:szCs w:val="20"/>
    </w:rPr>
  </w:style>
  <w:style w:type="character" w:styleId="FootnoteReference">
    <w:name w:val="footnote reference"/>
    <w:basedOn w:val="DefaultParagraphFont"/>
    <w:uiPriority w:val="99"/>
    <w:semiHidden/>
    <w:unhideWhenUsed/>
    <w:rsid w:val="00215B1C"/>
    <w:rPr>
      <w:vertAlign w:val="superscript"/>
    </w:rPr>
  </w:style>
  <w:style w:type="paragraph" w:styleId="NormalWeb">
    <w:name w:val="Normal (Web)"/>
    <w:basedOn w:val="Normal"/>
    <w:uiPriority w:val="99"/>
    <w:semiHidden/>
    <w:unhideWhenUsed/>
    <w:rsid w:val="00215B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C593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7B5B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5B76"/>
  </w:style>
  <w:style w:type="paragraph" w:styleId="Footer">
    <w:name w:val="footer"/>
    <w:basedOn w:val="Normal"/>
    <w:link w:val="FooterChar"/>
    <w:uiPriority w:val="99"/>
    <w:unhideWhenUsed/>
    <w:rsid w:val="007B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B76"/>
  </w:style>
  <w:style w:type="character" w:styleId="FollowedHyperlink">
    <w:name w:val="FollowedHyperlink"/>
    <w:basedOn w:val="DefaultParagraphFont"/>
    <w:uiPriority w:val="99"/>
    <w:semiHidden/>
    <w:unhideWhenUsed/>
    <w:rsid w:val="00E105B2"/>
    <w:rPr>
      <w:color w:val="800080" w:themeColor="followedHyperlink"/>
      <w:u w:val="single"/>
    </w:rPr>
  </w:style>
  <w:style w:type="paragraph" w:styleId="BalloonText">
    <w:name w:val="Balloon Text"/>
    <w:basedOn w:val="Normal"/>
    <w:link w:val="BalloonTextChar"/>
    <w:uiPriority w:val="99"/>
    <w:semiHidden/>
    <w:unhideWhenUsed/>
    <w:rsid w:val="00BC7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D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4836233">
      <w:bodyDiv w:val="1"/>
      <w:marLeft w:val="0"/>
      <w:marRight w:val="0"/>
      <w:marTop w:val="0"/>
      <w:marBottom w:val="0"/>
      <w:divBdr>
        <w:top w:val="none" w:sz="0" w:space="0" w:color="auto"/>
        <w:left w:val="none" w:sz="0" w:space="0" w:color="auto"/>
        <w:bottom w:val="none" w:sz="0" w:space="0" w:color="auto"/>
        <w:right w:val="none" w:sz="0" w:space="0" w:color="auto"/>
      </w:divBdr>
    </w:div>
    <w:div w:id="226764321">
      <w:bodyDiv w:val="1"/>
      <w:marLeft w:val="0"/>
      <w:marRight w:val="0"/>
      <w:marTop w:val="0"/>
      <w:marBottom w:val="0"/>
      <w:divBdr>
        <w:top w:val="none" w:sz="0" w:space="0" w:color="auto"/>
        <w:left w:val="none" w:sz="0" w:space="0" w:color="auto"/>
        <w:bottom w:val="none" w:sz="0" w:space="0" w:color="auto"/>
        <w:right w:val="none" w:sz="0" w:space="0" w:color="auto"/>
      </w:divBdr>
      <w:divsChild>
        <w:div w:id="208031309">
          <w:marLeft w:val="0"/>
          <w:marRight w:val="0"/>
          <w:marTop w:val="0"/>
          <w:marBottom w:val="0"/>
          <w:divBdr>
            <w:top w:val="none" w:sz="0" w:space="0" w:color="auto"/>
            <w:left w:val="none" w:sz="0" w:space="0" w:color="auto"/>
            <w:bottom w:val="none" w:sz="0" w:space="0" w:color="auto"/>
            <w:right w:val="none" w:sz="0" w:space="0" w:color="auto"/>
          </w:divBdr>
        </w:div>
      </w:divsChild>
    </w:div>
    <w:div w:id="530731227">
      <w:bodyDiv w:val="1"/>
      <w:marLeft w:val="0"/>
      <w:marRight w:val="0"/>
      <w:marTop w:val="0"/>
      <w:marBottom w:val="0"/>
      <w:divBdr>
        <w:top w:val="none" w:sz="0" w:space="0" w:color="auto"/>
        <w:left w:val="none" w:sz="0" w:space="0" w:color="auto"/>
        <w:bottom w:val="none" w:sz="0" w:space="0" w:color="auto"/>
        <w:right w:val="none" w:sz="0" w:space="0" w:color="auto"/>
      </w:divBdr>
    </w:div>
    <w:div w:id="1120957689">
      <w:bodyDiv w:val="1"/>
      <w:marLeft w:val="0"/>
      <w:marRight w:val="0"/>
      <w:marTop w:val="0"/>
      <w:marBottom w:val="0"/>
      <w:divBdr>
        <w:top w:val="none" w:sz="0" w:space="0" w:color="auto"/>
        <w:left w:val="none" w:sz="0" w:space="0" w:color="auto"/>
        <w:bottom w:val="none" w:sz="0" w:space="0" w:color="auto"/>
        <w:right w:val="none" w:sz="0" w:space="0" w:color="auto"/>
      </w:divBdr>
      <w:divsChild>
        <w:div w:id="1883054696">
          <w:marLeft w:val="425"/>
          <w:marRight w:val="0"/>
          <w:marTop w:val="0"/>
          <w:marBottom w:val="0"/>
          <w:divBdr>
            <w:top w:val="none" w:sz="0" w:space="0" w:color="auto"/>
            <w:left w:val="none" w:sz="0" w:space="0" w:color="auto"/>
            <w:bottom w:val="none" w:sz="0" w:space="0" w:color="auto"/>
            <w:right w:val="none" w:sz="0" w:space="0" w:color="auto"/>
          </w:divBdr>
        </w:div>
        <w:div w:id="135072908">
          <w:marLeft w:val="425"/>
          <w:marRight w:val="0"/>
          <w:marTop w:val="0"/>
          <w:marBottom w:val="0"/>
          <w:divBdr>
            <w:top w:val="none" w:sz="0" w:space="0" w:color="auto"/>
            <w:left w:val="none" w:sz="0" w:space="0" w:color="auto"/>
            <w:bottom w:val="none" w:sz="0" w:space="0" w:color="auto"/>
            <w:right w:val="none" w:sz="0" w:space="0" w:color="auto"/>
          </w:divBdr>
        </w:div>
        <w:div w:id="1748188213">
          <w:marLeft w:val="425"/>
          <w:marRight w:val="0"/>
          <w:marTop w:val="0"/>
          <w:marBottom w:val="0"/>
          <w:divBdr>
            <w:top w:val="none" w:sz="0" w:space="0" w:color="auto"/>
            <w:left w:val="none" w:sz="0" w:space="0" w:color="auto"/>
            <w:bottom w:val="none" w:sz="0" w:space="0" w:color="auto"/>
            <w:right w:val="none" w:sz="0" w:space="0" w:color="auto"/>
          </w:divBdr>
        </w:div>
        <w:div w:id="1526165203">
          <w:marLeft w:val="425"/>
          <w:marRight w:val="0"/>
          <w:marTop w:val="0"/>
          <w:marBottom w:val="0"/>
          <w:divBdr>
            <w:top w:val="none" w:sz="0" w:space="0" w:color="auto"/>
            <w:left w:val="none" w:sz="0" w:space="0" w:color="auto"/>
            <w:bottom w:val="none" w:sz="0" w:space="0" w:color="auto"/>
            <w:right w:val="none" w:sz="0" w:space="0" w:color="auto"/>
          </w:divBdr>
        </w:div>
        <w:div w:id="1191801215">
          <w:marLeft w:val="425"/>
          <w:marRight w:val="0"/>
          <w:marTop w:val="0"/>
          <w:marBottom w:val="0"/>
          <w:divBdr>
            <w:top w:val="none" w:sz="0" w:space="0" w:color="auto"/>
            <w:left w:val="none" w:sz="0" w:space="0" w:color="auto"/>
            <w:bottom w:val="none" w:sz="0" w:space="0" w:color="auto"/>
            <w:right w:val="none" w:sz="0" w:space="0" w:color="auto"/>
          </w:divBdr>
        </w:div>
      </w:divsChild>
    </w:div>
    <w:div w:id="20193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qaad.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pgf.nz/fact-sheet---gambling-in-new-zealand.html" TargetMode="External"/><Relationship Id="rId3" Type="http://schemas.openxmlformats.org/officeDocument/2006/relationships/hyperlink" Target="http://www.citizensadvice.org.uk/about-us/policy/policy-research-topics/consumer-policy-research/out-of-luck-an-%20exploration-of-the-causes-and-impacts-of-problem-gambling/" TargetMode="External"/><Relationship Id="rId7" Type="http://schemas.openxmlformats.org/officeDocument/2006/relationships/hyperlink" Target="https://www.rgsb.org.uk/PDF/RGSB-advice-on-remote-gambling.pdf" TargetMode="External"/><Relationship Id="rId2" Type="http://schemas.openxmlformats.org/officeDocument/2006/relationships/hyperlink" Target="https://www.theguardian.com/football/2019/jan/11/people-dying-campaign-gambling-public-health-concern" TargetMode="External"/><Relationship Id="rId1" Type="http://schemas.openxmlformats.org/officeDocument/2006/relationships/hyperlink" Target="https://www.google.com/search?client=firefox-b-d&amp;q=measuring+gambling-related+harms+a+framework+for+action" TargetMode="External"/><Relationship Id="rId6" Type="http://schemas.openxmlformats.org/officeDocument/2006/relationships/hyperlink" Target="https://about.gambleaware.org/research/evaluation/resources-to-support-the-gambling-industry-to-do-evaluation/" TargetMode="External"/><Relationship Id="rId5" Type="http://schemas.openxmlformats.org/officeDocument/2006/relationships/hyperlink" Target="https://www.google.com/search?client=firefox-b-d&amp;q=RGSB+Evaluation+Protocol" TargetMode="External"/><Relationship Id="rId4" Type="http://schemas.openxmlformats.org/officeDocument/2006/relationships/hyperlink" Target="https://www.rsph.org.uk/about-us/news/rsph-and-gambleaware-join-forces-to-establish-a-gambling-health-alli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9387-A89A-4EAC-8A29-CF81813A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Windows User</cp:lastModifiedBy>
  <cp:revision>10</cp:revision>
  <cp:lastPrinted>2019-02-07T10:01:00Z</cp:lastPrinted>
  <dcterms:created xsi:type="dcterms:W3CDTF">2019-02-07T10:16:00Z</dcterms:created>
  <dcterms:modified xsi:type="dcterms:W3CDTF">2019-04-03T15:25:00Z</dcterms:modified>
</cp:coreProperties>
</file>